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0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711"/>
        <w:gridCol w:w="5146"/>
      </w:tblGrid>
      <w:tr w:rsidR="009D2DBD" w:rsidRPr="0072397D" w:rsidTr="009D2DBD">
        <w:trPr>
          <w:trHeight w:val="1011"/>
          <w:jc w:val="center"/>
        </w:trPr>
        <w:tc>
          <w:tcPr>
            <w:tcW w:w="10862" w:type="dxa"/>
            <w:gridSpan w:val="3"/>
            <w:shd w:val="clear" w:color="auto" w:fill="8DB3E2" w:themeFill="text2" w:themeFillTint="66"/>
          </w:tcPr>
          <w:p w:rsidR="009D2DBD" w:rsidRPr="0044323F" w:rsidRDefault="00E900EC" w:rsidP="0044323F">
            <w:pPr>
              <w:spacing w:before="240" w:line="240" w:lineRule="auto"/>
              <w:jc w:val="center"/>
              <w:rPr>
                <w:sz w:val="24"/>
              </w:rPr>
            </w:pPr>
            <w:bookmarkStart w:id="0" w:name="_GoBack"/>
            <w:bookmarkEnd w:id="0"/>
            <w:r w:rsidRPr="0044323F">
              <w:rPr>
                <w:rFonts w:ascii="Trebuchet MS" w:hAnsi="Trebuchet MS" w:cstheme="majorBidi"/>
                <w:b/>
                <w:sz w:val="24"/>
              </w:rPr>
              <w:t>REPUBLIQUE DU BENIN</w:t>
            </w:r>
          </w:p>
          <w:p w:rsidR="009D2DBD" w:rsidRPr="0072397D" w:rsidRDefault="00E900EC" w:rsidP="00E900EC">
            <w:pPr>
              <w:jc w:val="center"/>
              <w:rPr>
                <w:rFonts w:ascii="Trebuchet MS" w:hAnsi="Trebuchet MS" w:cstheme="majorBidi"/>
                <w:b/>
                <w:sz w:val="24"/>
              </w:rPr>
            </w:pPr>
            <w:r w:rsidRPr="0072397D">
              <w:rPr>
                <w:rFonts w:ascii="Trebuchet MS" w:hAnsi="Trebuchet MS" w:cstheme="majorBidi"/>
                <w:b/>
                <w:sz w:val="24"/>
              </w:rPr>
              <w:t>MINISTERE DU DEVELOPPEMENT, DE L’ANALYSE ECONOMIQUE ET DE LA PROSPECTIVE</w:t>
            </w:r>
          </w:p>
        </w:tc>
      </w:tr>
      <w:tr w:rsidR="009D2DBD" w:rsidRPr="0072397D" w:rsidTr="009D2DBD">
        <w:trPr>
          <w:trHeight w:val="1011"/>
          <w:jc w:val="center"/>
        </w:trPr>
        <w:tc>
          <w:tcPr>
            <w:tcW w:w="5005" w:type="dxa"/>
            <w:shd w:val="clear" w:color="auto" w:fill="C6D9F1" w:themeFill="text2" w:themeFillTint="33"/>
          </w:tcPr>
          <w:p w:rsidR="009D2DBD" w:rsidRPr="0072397D" w:rsidRDefault="00EE3E92" w:rsidP="009D2DBD">
            <w:pPr>
              <w:spacing w:before="120"/>
              <w:jc w:val="center"/>
              <w:rPr>
                <w:rFonts w:ascii="Trebuchet MS" w:hAnsi="Trebuchet MS"/>
                <w:sz w:val="24"/>
                <w:szCs w:val="24"/>
              </w:rPr>
            </w:pPr>
            <w:r>
              <w:rPr>
                <w:rFonts w:ascii="Trebuchet MS" w:hAnsi="Trebuchet MS"/>
                <w:noProof/>
                <w:sz w:val="24"/>
                <w:szCs w:val="24"/>
                <w:lang w:eastAsia="fr-FR"/>
              </w:rPr>
              <w:pict>
                <v:shapetype id="_x0000_t202" coordsize="21600,21600" o:spt="202" path="m,l,21600r21600,l21600,xe">
                  <v:stroke joinstyle="miter"/>
                  <v:path gradientshapeok="t" o:connecttype="rect"/>
                </v:shapetype>
                <v:shape id="Text Box 2" o:spid="_x0000_s1026" type="#_x0000_t202" style="position:absolute;left:0;text-align:left;margin-left:-539.75pt;margin-top:-44.65pt;width:2in;height:725.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" stroked="f">
                  <v:textbox style="layout-flow:vertical;mso-layout-flow-alt:bottom-to-top">
                    <w:txbxContent>
                      <w:p w:rsidR="00CC718C" w:rsidRDefault="00CC718C" w:rsidP="009D2DBD"/>
                      <w:p w:rsidR="00CC718C" w:rsidRPr="004E1083" w:rsidRDefault="00CC718C" w:rsidP="009D2DBD">
                        <w:pPr>
                          <w:pStyle w:val="Paragraphedeliste"/>
                          <w:shd w:val="clear" w:color="auto" w:fill="B3B3B3"/>
                          <w:jc w:val="center"/>
                          <w:rPr>
                            <w:sz w:val="144"/>
                            <w:szCs w:val="144"/>
                          </w:rPr>
                        </w:pPr>
                        <w:r w:rsidRPr="004E1083">
                          <w:rPr>
                            <w:sz w:val="144"/>
                            <w:szCs w:val="144"/>
                          </w:rPr>
                          <w:t>EMICoV</w:t>
                        </w:r>
                        <w:r>
                          <w:rPr>
                            <w:sz w:val="144"/>
                            <w:szCs w:val="144"/>
                          </w:rPr>
                          <w:t xml:space="preserve">  2</w:t>
                        </w:r>
                        <w:r w:rsidRPr="004E1083">
                          <w:rPr>
                            <w:sz w:val="144"/>
                            <w:szCs w:val="144"/>
                            <w:vertAlign w:val="superscript"/>
                          </w:rPr>
                          <w:t>ème</w:t>
                        </w:r>
                        <w:r>
                          <w:rPr>
                            <w:sz w:val="144"/>
                            <w:szCs w:val="144"/>
                          </w:rPr>
                          <w:t xml:space="preserve"> Edition</w:t>
                        </w:r>
                      </w:p>
                    </w:txbxContent>
                  </v:textbox>
                </v:shape>
              </w:pict>
            </w:r>
            <w:r w:rsidR="009D2DBD" w:rsidRPr="0072397D">
              <w:rPr>
                <w:rFonts w:ascii="Trebuchet MS" w:hAnsi="Trebuchet MS"/>
                <w:sz w:val="24"/>
                <w:szCs w:val="24"/>
              </w:rPr>
              <w:t xml:space="preserve">Institut National de la Statistique </w:t>
            </w:r>
            <w:r w:rsidR="009D2DBD" w:rsidRPr="0072397D">
              <w:rPr>
                <w:rFonts w:ascii="Trebuchet MS" w:hAnsi="Trebuchet MS"/>
                <w:sz w:val="24"/>
                <w:szCs w:val="24"/>
              </w:rPr>
              <w:br/>
              <w:t>et de l’Analyse Economique</w:t>
            </w:r>
          </w:p>
          <w:p w:rsidR="009D2DBD" w:rsidRPr="0072397D" w:rsidRDefault="009D2DBD" w:rsidP="009D2DBD">
            <w:pPr>
              <w:jc w:val="center"/>
              <w:rPr>
                <w:rFonts w:ascii="Trebuchet MS" w:hAnsi="Trebuchet MS"/>
                <w:sz w:val="24"/>
                <w:szCs w:val="24"/>
              </w:rPr>
            </w:pPr>
          </w:p>
        </w:tc>
        <w:tc>
          <w:tcPr>
            <w:tcW w:w="711" w:type="dxa"/>
            <w:shd w:val="clear" w:color="auto" w:fill="C6D9F1" w:themeFill="text2" w:themeFillTint="33"/>
          </w:tcPr>
          <w:p w:rsidR="009D2DBD" w:rsidRPr="0072397D" w:rsidRDefault="009D2DBD" w:rsidP="009D2DBD">
            <w:pPr>
              <w:jc w:val="center"/>
              <w:rPr>
                <w:rFonts w:ascii="Trebuchet MS" w:hAnsi="Trebuchet MS"/>
                <w:sz w:val="24"/>
                <w:szCs w:val="24"/>
              </w:rPr>
            </w:pPr>
          </w:p>
        </w:tc>
        <w:tc>
          <w:tcPr>
            <w:tcW w:w="5146" w:type="dxa"/>
            <w:shd w:val="clear" w:color="auto" w:fill="C6D9F1" w:themeFill="text2" w:themeFillTint="33"/>
          </w:tcPr>
          <w:p w:rsidR="009D2DBD" w:rsidRPr="0072397D" w:rsidRDefault="0011446F" w:rsidP="00486EFC">
            <w:pPr>
              <w:spacing w:before="120"/>
              <w:jc w:val="center"/>
              <w:rPr>
                <w:rFonts w:ascii="Trebuchet MS" w:hAnsi="Trebuchet MS"/>
                <w:sz w:val="24"/>
                <w:szCs w:val="24"/>
              </w:rPr>
            </w:pPr>
            <w:r w:rsidRPr="0072397D">
              <w:rPr>
                <w:rFonts w:ascii="Trebuchet MS" w:hAnsi="Trebuchet MS"/>
                <w:sz w:val="24"/>
                <w:szCs w:val="24"/>
              </w:rPr>
              <w:t>Unité de Coordination de la Formulation du Deuxième Programme et du Suivi des Réformes de MCA-Bénin (UCF)</w:t>
            </w:r>
          </w:p>
        </w:tc>
      </w:tr>
      <w:tr w:rsidR="009D2DBD" w:rsidRPr="0072397D" w:rsidTr="009D2DBD">
        <w:trPr>
          <w:trHeight w:val="2008"/>
          <w:jc w:val="center"/>
        </w:trPr>
        <w:tc>
          <w:tcPr>
            <w:tcW w:w="5005" w:type="dxa"/>
          </w:tcPr>
          <w:p w:rsidR="009D2DBD" w:rsidRPr="0072397D" w:rsidRDefault="009D2DBD" w:rsidP="00E816A3">
            <w:pPr>
              <w:jc w:val="center"/>
            </w:pPr>
            <w:r w:rsidRPr="0072397D">
              <w:rPr>
                <w:noProof/>
                <w:lang w:eastAsia="fr-FR"/>
              </w:rPr>
              <w:drawing>
                <wp:inline distT="0" distB="0" distL="0" distR="0">
                  <wp:extent cx="1381125" cy="1095375"/>
                  <wp:effectExtent l="19050" t="0" r="9525" b="0"/>
                  <wp:docPr id="12" name="Image 1" descr="Logo-INSA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INSAE[2"/>
                          <pic:cNvPicPr>
                            <a:picLocks noChangeAspect="1" noChangeArrowheads="1"/>
                          </pic:cNvPicPr>
                        </pic:nvPicPr>
                        <pic:blipFill>
                          <a:blip r:embed="rId8" cstate="print"/>
                          <a:srcRect/>
                          <a:stretch>
                            <a:fillRect/>
                          </a:stretch>
                        </pic:blipFill>
                        <pic:spPr bwMode="auto">
                          <a:xfrm>
                            <a:off x="0" y="0"/>
                            <a:ext cx="1381125" cy="1095375"/>
                          </a:xfrm>
                          <a:prstGeom prst="rect">
                            <a:avLst/>
                          </a:prstGeom>
                          <a:noFill/>
                          <a:ln w="9525">
                            <a:noFill/>
                            <a:miter lim="800000"/>
                            <a:headEnd/>
                            <a:tailEnd/>
                          </a:ln>
                        </pic:spPr>
                      </pic:pic>
                    </a:graphicData>
                  </a:graphic>
                </wp:inline>
              </w:drawing>
            </w:r>
          </w:p>
        </w:tc>
        <w:tc>
          <w:tcPr>
            <w:tcW w:w="711" w:type="dxa"/>
          </w:tcPr>
          <w:p w:rsidR="009D2DBD" w:rsidRPr="0072397D" w:rsidRDefault="009D2DBD" w:rsidP="006A7A17"/>
        </w:tc>
        <w:tc>
          <w:tcPr>
            <w:tcW w:w="5146" w:type="dxa"/>
          </w:tcPr>
          <w:p w:rsidR="009D2DBD" w:rsidRPr="0072397D" w:rsidRDefault="0011446F" w:rsidP="006A7A17">
            <w:pPr>
              <w:rPr>
                <w:i/>
              </w:rPr>
            </w:pPr>
            <w:r w:rsidRPr="0072397D">
              <w:rPr>
                <w:i/>
                <w:noProof/>
                <w:lang w:eastAsia="fr-FR"/>
              </w:rPr>
              <w:drawing>
                <wp:anchor distT="0" distB="0" distL="114300" distR="114300" simplePos="0" relativeHeight="251662336" behindDoc="1" locked="0" layoutInCell="1" allowOverlap="1">
                  <wp:simplePos x="0" y="0"/>
                  <wp:positionH relativeFrom="margin">
                    <wp:align>center</wp:align>
                  </wp:positionH>
                  <wp:positionV relativeFrom="paragraph">
                    <wp:posOffset>129540</wp:posOffset>
                  </wp:positionV>
                  <wp:extent cx="1257300" cy="1076325"/>
                  <wp:effectExtent l="19050" t="0" r="0" b="0"/>
                  <wp:wrapTight wrapText="bothSides">
                    <wp:wrapPolygon edited="0">
                      <wp:start x="-327" y="0"/>
                      <wp:lineTo x="-327" y="21409"/>
                      <wp:lineTo x="21600" y="21409"/>
                      <wp:lineTo x="21600" y="0"/>
                      <wp:lineTo x="-327" y="0"/>
                    </wp:wrapPolygon>
                  </wp:wrapTight>
                  <wp:docPr id="1" name="Image 1" descr="Description : D:\Mes documents\DAF\RH\UCF\Modeles\Logo 2\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Description : D:\Mes documents\DAF\RH\UCF\Modeles\Logo 2\logo final-.jpg"/>
                          <pic:cNvPicPr>
                            <a:picLocks noChangeAspect="1" noChangeArrowheads="1"/>
                          </pic:cNvPicPr>
                        </pic:nvPicPr>
                        <pic:blipFill>
                          <a:blip r:embed="rId9" cstate="print">
                            <a:extLst>
                              <a:ext uri="{28A0092B-C50C-407E-A947-70E740481C1C}">
                                <a14:useLocalDpi xmlns:a14="http://schemas.microsoft.com/office/drawing/2010/main" val="0"/>
                              </a:ext>
                            </a:extLst>
                          </a:blip>
                          <a:srcRect l="17706" r="22133" b="20871"/>
                          <a:stretch>
                            <a:fillRect/>
                          </a:stretch>
                        </pic:blipFill>
                        <pic:spPr bwMode="auto">
                          <a:xfrm>
                            <a:off x="0" y="0"/>
                            <a:ext cx="1257300" cy="1076325"/>
                          </a:xfrm>
                          <a:prstGeom prst="rect">
                            <a:avLst/>
                          </a:prstGeom>
                          <a:noFill/>
                        </pic:spPr>
                      </pic:pic>
                    </a:graphicData>
                  </a:graphic>
                </wp:anchor>
              </w:drawing>
            </w:r>
          </w:p>
        </w:tc>
      </w:tr>
      <w:tr w:rsidR="009D2DBD" w:rsidRPr="0072397D" w:rsidTr="009D2DBD">
        <w:trPr>
          <w:trHeight w:val="682"/>
          <w:jc w:val="center"/>
        </w:trPr>
        <w:tc>
          <w:tcPr>
            <w:tcW w:w="10862" w:type="dxa"/>
            <w:gridSpan w:val="3"/>
            <w:shd w:val="clear" w:color="auto" w:fill="C6D9F1" w:themeFill="text2" w:themeFillTint="33"/>
          </w:tcPr>
          <w:p w:rsidR="009D2DBD" w:rsidRPr="0044323F" w:rsidRDefault="009D2DBD" w:rsidP="009D2DBD">
            <w:pPr>
              <w:pStyle w:val="Titre7"/>
              <w:jc w:val="center"/>
              <w:rPr>
                <w:rFonts w:ascii="Trebuchet MS" w:hAnsi="Trebuchet MS"/>
                <w:noProof/>
                <w:sz w:val="22"/>
                <w:lang w:val="fr-FR" w:eastAsia="fr-FR"/>
              </w:rPr>
            </w:pPr>
          </w:p>
        </w:tc>
      </w:tr>
      <w:tr w:rsidR="009D2DBD" w:rsidRPr="0072397D" w:rsidTr="00486EFC">
        <w:trPr>
          <w:trHeight w:val="2380"/>
          <w:jc w:val="center"/>
        </w:trPr>
        <w:tc>
          <w:tcPr>
            <w:tcW w:w="10862" w:type="dxa"/>
            <w:gridSpan w:val="3"/>
            <w:shd w:val="clear" w:color="auto" w:fill="8DB3E2" w:themeFill="text2" w:themeFillTint="66"/>
          </w:tcPr>
          <w:p w:rsidR="009D2DBD" w:rsidRPr="0072397D" w:rsidRDefault="009D2DBD" w:rsidP="00FF1C88">
            <w:pPr>
              <w:pStyle w:val="Titre8"/>
              <w:spacing w:after="120"/>
              <w:jc w:val="center"/>
              <w:rPr>
                <w:rFonts w:ascii="Trebuchet MS" w:hAnsi="Trebuchet MS" w:cs="Arial"/>
                <w:b/>
                <w:color w:val="auto"/>
                <w:sz w:val="32"/>
                <w:szCs w:val="28"/>
                <w:lang w:val="fr-FR"/>
              </w:rPr>
            </w:pPr>
          </w:p>
          <w:p w:rsidR="00D84ED4" w:rsidRPr="0072397D" w:rsidRDefault="00D84ED4" w:rsidP="00FF1C88">
            <w:pPr>
              <w:pStyle w:val="Titre8"/>
              <w:spacing w:after="120"/>
              <w:jc w:val="center"/>
              <w:rPr>
                <w:rFonts w:ascii="Trebuchet MS" w:hAnsi="Trebuchet MS" w:cs="Arial"/>
                <w:b/>
                <w:color w:val="auto"/>
                <w:sz w:val="32"/>
                <w:szCs w:val="28"/>
                <w:lang w:val="fr-FR"/>
              </w:rPr>
            </w:pPr>
            <w:r w:rsidRPr="0072397D">
              <w:rPr>
                <w:rFonts w:ascii="Trebuchet MS" w:hAnsi="Trebuchet MS" w:cs="Arial"/>
                <w:b/>
                <w:color w:val="auto"/>
                <w:sz w:val="32"/>
                <w:szCs w:val="28"/>
                <w:lang w:val="fr-FR"/>
              </w:rPr>
              <w:t>ENQUETE SUR LA CONSOMMATION D’ELECTRICITE AU BENIN</w:t>
            </w:r>
          </w:p>
          <w:p w:rsidR="009D2DBD" w:rsidRPr="00104A91" w:rsidRDefault="009D2DBD" w:rsidP="00FF1C88">
            <w:pPr>
              <w:pStyle w:val="Titre8"/>
              <w:spacing w:after="120"/>
              <w:jc w:val="center"/>
              <w:rPr>
                <w:rFonts w:ascii="Trebuchet MS" w:hAnsi="Trebuchet MS" w:cs="Arial"/>
                <w:b/>
                <w:color w:val="auto"/>
                <w:sz w:val="24"/>
                <w:szCs w:val="28"/>
                <w:lang w:val="fr-FR"/>
              </w:rPr>
            </w:pPr>
          </w:p>
          <w:p w:rsidR="009D2DBD" w:rsidRPr="0072397D" w:rsidRDefault="009D2DBD" w:rsidP="00FF1C88">
            <w:pPr>
              <w:pStyle w:val="Titre8"/>
              <w:spacing w:after="120"/>
              <w:jc w:val="center"/>
              <w:rPr>
                <w:rFonts w:ascii="Trebuchet MS" w:hAnsi="Trebuchet MS" w:cs="Arial"/>
                <w:b/>
                <w:color w:val="auto"/>
                <w:sz w:val="32"/>
                <w:szCs w:val="28"/>
                <w:lang w:val="fr-FR"/>
              </w:rPr>
            </w:pPr>
            <w:r w:rsidRPr="0072397D">
              <w:rPr>
                <w:rFonts w:ascii="Trebuchet MS" w:hAnsi="Trebuchet MS" w:cs="Arial"/>
                <w:b/>
                <w:color w:val="auto"/>
                <w:sz w:val="32"/>
                <w:szCs w:val="28"/>
                <w:lang w:val="fr-FR"/>
              </w:rPr>
              <w:t xml:space="preserve">RAPPORT </w:t>
            </w:r>
            <w:r w:rsidR="00E900EC" w:rsidRPr="0072397D">
              <w:rPr>
                <w:rFonts w:ascii="Trebuchet MS" w:hAnsi="Trebuchet MS" w:cs="Arial"/>
                <w:b/>
                <w:color w:val="auto"/>
                <w:sz w:val="32"/>
                <w:szCs w:val="28"/>
                <w:lang w:val="fr-FR"/>
              </w:rPr>
              <w:t>MENAGE</w:t>
            </w:r>
          </w:p>
          <w:p w:rsidR="009D2DBD" w:rsidRPr="00486EFC" w:rsidRDefault="009D2DBD" w:rsidP="00FF1C88">
            <w:pPr>
              <w:pStyle w:val="Titre8"/>
              <w:spacing w:after="120"/>
              <w:jc w:val="center"/>
              <w:rPr>
                <w:rFonts w:ascii="Trebuchet MS" w:hAnsi="Trebuchet MS" w:cs="Arial"/>
                <w:b/>
                <w:color w:val="auto"/>
                <w:sz w:val="22"/>
                <w:szCs w:val="28"/>
                <w:lang w:val="fr-FR"/>
              </w:rPr>
            </w:pPr>
          </w:p>
          <w:p w:rsidR="009D2DBD" w:rsidRPr="0072397D" w:rsidRDefault="009D2DBD" w:rsidP="00FF1C88">
            <w:pPr>
              <w:pStyle w:val="Titre8"/>
              <w:spacing w:after="120"/>
              <w:jc w:val="center"/>
              <w:rPr>
                <w:rFonts w:ascii="Trebuchet MS" w:hAnsi="Trebuchet MS" w:cs="Arial"/>
                <w:b/>
                <w:color w:val="auto"/>
                <w:sz w:val="32"/>
                <w:szCs w:val="28"/>
                <w:lang w:val="fr-FR"/>
              </w:rPr>
            </w:pPr>
          </w:p>
        </w:tc>
      </w:tr>
      <w:tr w:rsidR="009D2DBD" w:rsidRPr="0072397D" w:rsidTr="00D84ED4">
        <w:trPr>
          <w:trHeight w:val="3053"/>
          <w:jc w:val="center"/>
        </w:trPr>
        <w:tc>
          <w:tcPr>
            <w:tcW w:w="10862" w:type="dxa"/>
            <w:gridSpan w:val="3"/>
            <w:shd w:val="clear" w:color="auto" w:fill="C6D9F1" w:themeFill="text2" w:themeFillTint="33"/>
          </w:tcPr>
          <w:p w:rsidR="00FF1C88" w:rsidRPr="0044323F" w:rsidRDefault="00FF1C88" w:rsidP="009D2DBD">
            <w:pPr>
              <w:rPr>
                <w:rFonts w:ascii="Trebuchet MS" w:hAnsi="Trebuchet MS"/>
                <w:sz w:val="2"/>
                <w:lang w:eastAsia="fr-FR"/>
              </w:rPr>
            </w:pPr>
          </w:p>
          <w:p w:rsidR="00FF1C88" w:rsidRPr="00104A91" w:rsidRDefault="00FF1C88" w:rsidP="009D2DBD">
            <w:pPr>
              <w:rPr>
                <w:rFonts w:ascii="Trebuchet MS" w:hAnsi="Trebuchet MS"/>
                <w:sz w:val="20"/>
                <w:lang w:eastAsia="fr-FR"/>
              </w:rPr>
            </w:pPr>
          </w:p>
          <w:p w:rsidR="00FF1C88" w:rsidRDefault="00FF1C88"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Pr="00104A91" w:rsidRDefault="00A84F77" w:rsidP="009D2DBD">
            <w:pPr>
              <w:rPr>
                <w:rFonts w:ascii="Trebuchet MS" w:hAnsi="Trebuchet MS"/>
                <w:sz w:val="20"/>
                <w:lang w:eastAsia="fr-FR"/>
              </w:rPr>
            </w:pPr>
          </w:p>
          <w:p w:rsidR="00FF1C88" w:rsidRPr="0072397D" w:rsidRDefault="00FF1C88" w:rsidP="009D2DBD">
            <w:pPr>
              <w:rPr>
                <w:rFonts w:ascii="Trebuchet MS" w:hAnsi="Trebuchet MS"/>
                <w:lang w:eastAsia="fr-FR"/>
              </w:rPr>
            </w:pPr>
          </w:p>
        </w:tc>
      </w:tr>
      <w:tr w:rsidR="009D2DBD" w:rsidRPr="0072397D" w:rsidTr="00FF1C88">
        <w:trPr>
          <w:trHeight w:val="1335"/>
          <w:jc w:val="center"/>
        </w:trPr>
        <w:tc>
          <w:tcPr>
            <w:tcW w:w="10862" w:type="dxa"/>
            <w:gridSpan w:val="3"/>
            <w:shd w:val="clear" w:color="auto" w:fill="8DB3E2" w:themeFill="text2" w:themeFillTint="66"/>
          </w:tcPr>
          <w:p w:rsidR="00D84ED4" w:rsidRDefault="00D84ED4" w:rsidP="00D84ED4">
            <w:pPr>
              <w:jc w:val="center"/>
              <w:rPr>
                <w:rFonts w:ascii="Trebuchet MS" w:hAnsi="Trebuchet MS"/>
              </w:rPr>
            </w:pPr>
          </w:p>
          <w:p w:rsidR="00A84F77" w:rsidRDefault="00A84F77" w:rsidP="00D84ED4">
            <w:pPr>
              <w:jc w:val="center"/>
              <w:rPr>
                <w:rFonts w:ascii="Trebuchet MS" w:hAnsi="Trebuchet MS"/>
              </w:rPr>
            </w:pPr>
          </w:p>
          <w:p w:rsidR="00FF1C88" w:rsidRPr="0072397D" w:rsidRDefault="00FF1C88" w:rsidP="00FF1C88">
            <w:pPr>
              <w:tabs>
                <w:tab w:val="left" w:pos="3645"/>
              </w:tabs>
              <w:jc w:val="center"/>
              <w:rPr>
                <w:rFonts w:ascii="Trebuchet MS" w:hAnsi="Trebuchet MS"/>
              </w:rPr>
            </w:pPr>
          </w:p>
          <w:p w:rsidR="009D2DBD" w:rsidRPr="0072397D" w:rsidRDefault="009D2DBD" w:rsidP="00F53DDD">
            <w:pPr>
              <w:tabs>
                <w:tab w:val="left" w:pos="3645"/>
              </w:tabs>
              <w:jc w:val="center"/>
              <w:rPr>
                <w:rFonts w:ascii="Trebuchet MS" w:hAnsi="Trebuchet MS"/>
                <w:lang w:eastAsia="fr-FR"/>
              </w:rPr>
            </w:pPr>
            <w:r w:rsidRPr="00DF7388">
              <w:rPr>
                <w:rFonts w:ascii="Trebuchet MS" w:hAnsi="Trebuchet MS"/>
                <w:sz w:val="24"/>
              </w:rPr>
              <w:t xml:space="preserve">Cotonou, </w:t>
            </w:r>
            <w:r w:rsidR="0011446F" w:rsidRPr="00DF7388">
              <w:rPr>
                <w:rFonts w:ascii="Trebuchet MS" w:hAnsi="Trebuchet MS"/>
                <w:sz w:val="24"/>
              </w:rPr>
              <w:t>jui</w:t>
            </w:r>
            <w:r w:rsidR="00F53DDD" w:rsidRPr="00DF7388">
              <w:rPr>
                <w:rFonts w:ascii="Trebuchet MS" w:hAnsi="Trebuchet MS"/>
                <w:sz w:val="24"/>
              </w:rPr>
              <w:t>llet</w:t>
            </w:r>
            <w:r w:rsidRPr="00DF7388">
              <w:rPr>
                <w:rFonts w:ascii="Trebuchet MS" w:hAnsi="Trebuchet MS"/>
                <w:sz w:val="24"/>
              </w:rPr>
              <w:t xml:space="preserve"> 201</w:t>
            </w:r>
            <w:r w:rsidR="0011446F" w:rsidRPr="00DF7388">
              <w:rPr>
                <w:rFonts w:ascii="Trebuchet MS" w:hAnsi="Trebuchet MS"/>
                <w:sz w:val="24"/>
              </w:rPr>
              <w:t>5</w:t>
            </w:r>
          </w:p>
        </w:tc>
      </w:tr>
    </w:tbl>
    <w:p w:rsidR="00FF1C88" w:rsidRPr="0072397D" w:rsidRDefault="00FF1C88" w:rsidP="00FF1C88">
      <w:pPr>
        <w:spacing w:after="0" w:line="240" w:lineRule="auto"/>
        <w:rPr>
          <w:rFonts w:ascii="Trebuchet MS" w:hAnsi="Trebuchet MS"/>
        </w:rPr>
        <w:sectPr w:rsidR="00FF1C88" w:rsidRPr="0072397D" w:rsidSect="00FF1C88">
          <w:footerReference w:type="default" r:id="rId10"/>
          <w:pgSz w:w="11906" w:h="16838"/>
          <w:pgMar w:top="679" w:right="1417" w:bottom="426" w:left="1417" w:header="426" w:footer="273" w:gutter="0"/>
          <w:cols w:space="708"/>
          <w:docGrid w:linePitch="360"/>
        </w:sectPr>
      </w:pPr>
      <w:bookmarkStart w:id="1" w:name="_Toc421805397"/>
    </w:p>
    <w:p w:rsidR="008707DD" w:rsidRPr="0072397D" w:rsidRDefault="00694223" w:rsidP="0044323F">
      <w:pPr>
        <w:pStyle w:val="Titre1"/>
      </w:pPr>
      <w:bookmarkStart w:id="2" w:name="_Toc421805398"/>
      <w:bookmarkStart w:id="3" w:name="_Toc421806951"/>
      <w:bookmarkStart w:id="4" w:name="_Toc425961618"/>
      <w:bookmarkStart w:id="5" w:name="_Toc426359383"/>
      <w:bookmarkStart w:id="6" w:name="_Toc426359413"/>
      <w:bookmarkEnd w:id="1"/>
      <w:r w:rsidRPr="0072397D">
        <w:lastRenderedPageBreak/>
        <w:t>SIGLES ET ABREVIATIONS</w:t>
      </w:r>
      <w:bookmarkEnd w:id="2"/>
      <w:bookmarkEnd w:id="3"/>
      <w:bookmarkEnd w:id="4"/>
      <w:bookmarkEnd w:id="5"/>
      <w:bookmarkEnd w:id="6"/>
    </w:p>
    <w:p w:rsidR="00091E5B" w:rsidRDefault="00091E5B" w:rsidP="00091E5B">
      <w:pPr>
        <w:rPr>
          <w:rFonts w:ascii="Trebuchet MS" w:hAnsi="Trebuchet MS"/>
          <w:lang w:eastAsia="fr-FR"/>
        </w:rPr>
      </w:pPr>
    </w:p>
    <w:tbl>
      <w:tblPr>
        <w:tblW w:w="9247" w:type="dxa"/>
        <w:tblInd w:w="55" w:type="dxa"/>
        <w:tblCellMar>
          <w:left w:w="70" w:type="dxa"/>
          <w:right w:w="70" w:type="dxa"/>
        </w:tblCellMar>
        <w:tblLook w:val="04A0" w:firstRow="1" w:lastRow="0" w:firstColumn="1" w:lastColumn="0" w:noHBand="0" w:noVBand="1"/>
      </w:tblPr>
      <w:tblGrid>
        <w:gridCol w:w="1380"/>
        <w:gridCol w:w="280"/>
        <w:gridCol w:w="7587"/>
      </w:tblGrid>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BTP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Bâtiments et Travaux Publics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CAPI</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Computer Assisted</w:t>
            </w:r>
            <w:r w:rsidR="00BA7EF3">
              <w:rPr>
                <w:rFonts w:ascii="Trebuchet MS" w:eastAsia="Times New Roman" w:hAnsi="Trebuchet MS" w:cs="Calibri"/>
                <w:color w:val="000000"/>
                <w:lang w:eastAsia="fr-FR"/>
              </w:rPr>
              <w:t xml:space="preserve"> </w:t>
            </w:r>
            <w:r w:rsidRPr="00847D32">
              <w:rPr>
                <w:rFonts w:ascii="Trebuchet MS" w:eastAsia="Times New Roman" w:hAnsi="Trebuchet MS" w:cs="Calibri"/>
                <w:color w:val="000000"/>
                <w:lang w:eastAsia="fr-FR"/>
              </w:rPr>
              <w:t xml:space="preserve">Personal Interview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CEB</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Communauté Electrique du Bénin</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CM</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Chef de ménage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ECEB</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Enquête sur la Consommation d’Electricité au Bénin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EMICoV</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bookmarkStart w:id="7" w:name="RANGE!D8"/>
            <w:r w:rsidRPr="00847D32">
              <w:rPr>
                <w:rFonts w:ascii="Trebuchet MS" w:eastAsia="Times New Roman" w:hAnsi="Trebuchet MS" w:cs="Calibri"/>
                <w:color w:val="000000"/>
                <w:lang w:eastAsia="fr-FR"/>
              </w:rPr>
              <w:t xml:space="preserve">Enquête Modulaire Intégré sur les Conditions de vies des ménages. </w:t>
            </w:r>
            <w:bookmarkEnd w:id="7"/>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GPL</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Gaz de pétrole liquéfié </w:t>
            </w:r>
          </w:p>
        </w:tc>
      </w:tr>
      <w:tr w:rsidR="00847D32" w:rsidRPr="00BC1946"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GSM</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val="en-US" w:eastAsia="fr-FR"/>
              </w:rPr>
            </w:pPr>
            <w:r w:rsidRPr="00847D32">
              <w:rPr>
                <w:rFonts w:ascii="Trebuchet MS" w:eastAsia="Times New Roman" w:hAnsi="Trebuchet MS" w:cs="Calibri"/>
                <w:color w:val="000000"/>
                <w:lang w:val="en-US" w:eastAsia="fr-FR"/>
              </w:rPr>
              <w:t>Global System for Mobile Communications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INSAE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Institut National de la Statistique et de l’Analyse Economique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MCC</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Arial"/>
                <w:color w:val="000000"/>
                <w:lang w:eastAsia="fr-FR"/>
              </w:rPr>
              <w:t xml:space="preserve">Mission du Millenium Challenge Corporation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NSP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Ne sait pas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SBEE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Société Béninoise d’Energie Electrique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SIE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Système d’Information Energétique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SMS</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Short Message Service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UCF/MCA-2 </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line="240" w:lineRule="auto"/>
              <w:rPr>
                <w:rFonts w:ascii="Trebuchet MS" w:eastAsia="Times New Roman" w:hAnsi="Trebuchet MS" w:cs="Calibri"/>
                <w:color w:val="000000"/>
                <w:lang w:eastAsia="fr-FR"/>
              </w:rPr>
            </w:pPr>
            <w:r w:rsidRPr="00847D32">
              <w:rPr>
                <w:rFonts w:ascii="Trebuchet MS" w:eastAsia="Times New Roman" w:hAnsi="Trebuchet MS" w:cs="Arial"/>
                <w:color w:val="000000"/>
                <w:lang w:eastAsia="fr-FR"/>
              </w:rPr>
              <w:t>Unité de Coordination et de Formulation du second compact du Millenium Challenge Account</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val="en-US" w:eastAsia="fr-FR"/>
              </w:rPr>
              <w:t>Willingness to pay</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ZD</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Zones de dénombrement </w:t>
            </w:r>
          </w:p>
        </w:tc>
      </w:tr>
    </w:tbl>
    <w:p w:rsidR="00847D32" w:rsidRDefault="00847D32" w:rsidP="00091E5B">
      <w:pPr>
        <w:rPr>
          <w:rFonts w:ascii="Trebuchet MS" w:hAnsi="Trebuchet MS"/>
          <w:lang w:eastAsia="fr-FR"/>
        </w:rPr>
      </w:pPr>
    </w:p>
    <w:p w:rsidR="00847D32" w:rsidRDefault="00847D32" w:rsidP="00091E5B">
      <w:pPr>
        <w:rPr>
          <w:rFonts w:ascii="Trebuchet MS" w:hAnsi="Trebuchet MS"/>
          <w:lang w:eastAsia="fr-FR"/>
        </w:rPr>
      </w:pPr>
    </w:p>
    <w:p w:rsidR="00847D32" w:rsidRDefault="00847D32">
      <w:pPr>
        <w:spacing w:after="0" w:line="240" w:lineRule="auto"/>
        <w:rPr>
          <w:rFonts w:ascii="Trebuchet MS" w:hAnsi="Trebuchet MS"/>
          <w:sz w:val="24"/>
          <w:szCs w:val="24"/>
        </w:rPr>
      </w:pPr>
    </w:p>
    <w:p w:rsidR="00497AD0" w:rsidRPr="0072397D" w:rsidRDefault="00497AD0">
      <w:pPr>
        <w:spacing w:after="0" w:line="240" w:lineRule="auto"/>
        <w:rPr>
          <w:rFonts w:ascii="Trebuchet MS" w:hAnsi="Trebuchet MS"/>
          <w:sz w:val="24"/>
          <w:szCs w:val="24"/>
        </w:rPr>
      </w:pPr>
      <w:r w:rsidRPr="0072397D">
        <w:rPr>
          <w:rFonts w:ascii="Trebuchet MS" w:hAnsi="Trebuchet MS"/>
          <w:sz w:val="24"/>
          <w:szCs w:val="24"/>
        </w:rPr>
        <w:br w:type="page"/>
      </w:r>
    </w:p>
    <w:p w:rsidR="00497AD0" w:rsidRPr="0072397D" w:rsidRDefault="009B35FB" w:rsidP="0044323F">
      <w:pPr>
        <w:pStyle w:val="Titre1"/>
      </w:pPr>
      <w:bookmarkStart w:id="8" w:name="_Toc421805399"/>
      <w:bookmarkStart w:id="9" w:name="_Toc421806952"/>
      <w:bookmarkStart w:id="10" w:name="_Toc425961619"/>
      <w:bookmarkStart w:id="11" w:name="_Toc426359384"/>
      <w:bookmarkStart w:id="12" w:name="_Toc426359414"/>
      <w:r w:rsidRPr="0072397D">
        <w:lastRenderedPageBreak/>
        <w:t>SOMMAIRE</w:t>
      </w:r>
      <w:bookmarkEnd w:id="8"/>
      <w:bookmarkEnd w:id="9"/>
      <w:bookmarkEnd w:id="10"/>
      <w:bookmarkEnd w:id="11"/>
      <w:bookmarkEnd w:id="12"/>
    </w:p>
    <w:p w:rsidR="009B35FB" w:rsidRPr="0072397D" w:rsidRDefault="009B35FB" w:rsidP="00DC35D8">
      <w:pPr>
        <w:spacing w:line="240" w:lineRule="auto"/>
        <w:jc w:val="both"/>
        <w:rPr>
          <w:rFonts w:ascii="Trebuchet MS" w:hAnsi="Trebuchet MS"/>
          <w:sz w:val="24"/>
          <w:szCs w:val="24"/>
        </w:rPr>
      </w:pPr>
    </w:p>
    <w:p w:rsidR="00DF7388" w:rsidRDefault="00792500">
      <w:pPr>
        <w:pStyle w:val="TM1"/>
        <w:tabs>
          <w:tab w:val="right" w:leader="dot" w:pos="9062"/>
        </w:tabs>
        <w:rPr>
          <w:rFonts w:asciiTheme="minorHAnsi" w:eastAsiaTheme="minorEastAsia" w:hAnsiTheme="minorHAnsi" w:cstheme="minorBidi"/>
          <w:noProof/>
          <w:sz w:val="22"/>
          <w:lang w:eastAsia="fr-FR"/>
        </w:rPr>
      </w:pPr>
      <w:r>
        <w:rPr>
          <w:sz w:val="24"/>
          <w:szCs w:val="24"/>
        </w:rPr>
        <w:fldChar w:fldCharType="begin"/>
      </w:r>
      <w:r w:rsidR="00433455">
        <w:rPr>
          <w:sz w:val="24"/>
          <w:szCs w:val="24"/>
        </w:rPr>
        <w:instrText xml:space="preserve"> TOC \o "1-3" \h \z \u </w:instrText>
      </w:r>
      <w:r>
        <w:rPr>
          <w:sz w:val="24"/>
          <w:szCs w:val="24"/>
        </w:rPr>
        <w:fldChar w:fldCharType="separate"/>
      </w:r>
      <w:hyperlink w:anchor="_Toc426359383" w:history="1">
        <w:r w:rsidR="00DF7388" w:rsidRPr="005F3E34">
          <w:rPr>
            <w:rStyle w:val="Lienhypertexte"/>
            <w:noProof/>
          </w:rPr>
          <w:t>SIGLES ET ABREVIATIONS</w:t>
        </w:r>
        <w:r w:rsidR="00DF7388">
          <w:rPr>
            <w:noProof/>
            <w:webHidden/>
          </w:rPr>
          <w:tab/>
        </w:r>
        <w:r>
          <w:rPr>
            <w:noProof/>
            <w:webHidden/>
          </w:rPr>
          <w:fldChar w:fldCharType="begin"/>
        </w:r>
        <w:r w:rsidR="00DF7388">
          <w:rPr>
            <w:noProof/>
            <w:webHidden/>
          </w:rPr>
          <w:instrText xml:space="preserve"> PAGEREF _Toc426359383 \h </w:instrText>
        </w:r>
        <w:r>
          <w:rPr>
            <w:noProof/>
            <w:webHidden/>
          </w:rPr>
        </w:r>
        <w:r>
          <w:rPr>
            <w:noProof/>
            <w:webHidden/>
          </w:rPr>
          <w:fldChar w:fldCharType="separate"/>
        </w:r>
        <w:r w:rsidR="00DF7388">
          <w:rPr>
            <w:noProof/>
            <w:webHidden/>
          </w:rPr>
          <w:t>2</w:t>
        </w:r>
        <w:r>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384" w:history="1">
        <w:r w:rsidR="00DF7388" w:rsidRPr="005F3E34">
          <w:rPr>
            <w:rStyle w:val="Lienhypertexte"/>
            <w:noProof/>
          </w:rPr>
          <w:t>SOMMAIRE</w:t>
        </w:r>
        <w:r w:rsidR="00DF7388">
          <w:rPr>
            <w:noProof/>
            <w:webHidden/>
          </w:rPr>
          <w:tab/>
        </w:r>
        <w:r w:rsidR="00792500">
          <w:rPr>
            <w:noProof/>
            <w:webHidden/>
          </w:rPr>
          <w:fldChar w:fldCharType="begin"/>
        </w:r>
        <w:r w:rsidR="00DF7388">
          <w:rPr>
            <w:noProof/>
            <w:webHidden/>
          </w:rPr>
          <w:instrText xml:space="preserve"> PAGEREF _Toc426359384 \h </w:instrText>
        </w:r>
        <w:r w:rsidR="00792500">
          <w:rPr>
            <w:noProof/>
            <w:webHidden/>
          </w:rPr>
        </w:r>
        <w:r w:rsidR="00792500">
          <w:rPr>
            <w:noProof/>
            <w:webHidden/>
          </w:rPr>
          <w:fldChar w:fldCharType="separate"/>
        </w:r>
        <w:r w:rsidR="00DF7388">
          <w:rPr>
            <w:noProof/>
            <w:webHidden/>
          </w:rPr>
          <w:t>3</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385" w:history="1">
        <w:r w:rsidR="00DF7388" w:rsidRPr="005F3E34">
          <w:rPr>
            <w:rStyle w:val="Lienhypertexte"/>
            <w:noProof/>
          </w:rPr>
          <w:t>LISTE DES TABLEAUX</w:t>
        </w:r>
        <w:r w:rsidR="00DF7388">
          <w:rPr>
            <w:noProof/>
            <w:webHidden/>
          </w:rPr>
          <w:tab/>
        </w:r>
        <w:r w:rsidR="00792500">
          <w:rPr>
            <w:noProof/>
            <w:webHidden/>
          </w:rPr>
          <w:fldChar w:fldCharType="begin"/>
        </w:r>
        <w:r w:rsidR="00DF7388">
          <w:rPr>
            <w:noProof/>
            <w:webHidden/>
          </w:rPr>
          <w:instrText xml:space="preserve"> PAGEREF _Toc426359385 \h </w:instrText>
        </w:r>
        <w:r w:rsidR="00792500">
          <w:rPr>
            <w:noProof/>
            <w:webHidden/>
          </w:rPr>
        </w:r>
        <w:r w:rsidR="00792500">
          <w:rPr>
            <w:noProof/>
            <w:webHidden/>
          </w:rPr>
          <w:fldChar w:fldCharType="separate"/>
        </w:r>
        <w:r w:rsidR="00DF7388">
          <w:rPr>
            <w:noProof/>
            <w:webHidden/>
          </w:rPr>
          <w:t>4</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386" w:history="1">
        <w:r w:rsidR="00DF7388" w:rsidRPr="005F3E34">
          <w:rPr>
            <w:rStyle w:val="Lienhypertexte"/>
            <w:noProof/>
          </w:rPr>
          <w:t>LISTE DES GRAPHIQUES</w:t>
        </w:r>
        <w:r w:rsidR="00DF7388">
          <w:rPr>
            <w:noProof/>
            <w:webHidden/>
          </w:rPr>
          <w:tab/>
        </w:r>
        <w:r w:rsidR="00792500">
          <w:rPr>
            <w:noProof/>
            <w:webHidden/>
          </w:rPr>
          <w:fldChar w:fldCharType="begin"/>
        </w:r>
        <w:r w:rsidR="00DF7388">
          <w:rPr>
            <w:noProof/>
            <w:webHidden/>
          </w:rPr>
          <w:instrText xml:space="preserve"> PAGEREF _Toc426359386 \h </w:instrText>
        </w:r>
        <w:r w:rsidR="00792500">
          <w:rPr>
            <w:noProof/>
            <w:webHidden/>
          </w:rPr>
        </w:r>
        <w:r w:rsidR="00792500">
          <w:rPr>
            <w:noProof/>
            <w:webHidden/>
          </w:rPr>
          <w:fldChar w:fldCharType="separate"/>
        </w:r>
        <w:r w:rsidR="00DF7388">
          <w:rPr>
            <w:noProof/>
            <w:webHidden/>
          </w:rPr>
          <w:t>7</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387" w:history="1">
        <w:r w:rsidR="00DF7388" w:rsidRPr="005F3E34">
          <w:rPr>
            <w:rStyle w:val="Lienhypertexte"/>
            <w:noProof/>
          </w:rPr>
          <w:t>NOTE METHODOLOGIQUE SUR L’ENQUETE</w:t>
        </w:r>
        <w:r w:rsidR="00DF7388">
          <w:rPr>
            <w:noProof/>
            <w:webHidden/>
          </w:rPr>
          <w:tab/>
        </w:r>
        <w:r w:rsidR="00792500">
          <w:rPr>
            <w:noProof/>
            <w:webHidden/>
          </w:rPr>
          <w:fldChar w:fldCharType="begin"/>
        </w:r>
        <w:r w:rsidR="00DF7388">
          <w:rPr>
            <w:noProof/>
            <w:webHidden/>
          </w:rPr>
          <w:instrText xml:space="preserve"> PAGEREF _Toc426359387 \h </w:instrText>
        </w:r>
        <w:r w:rsidR="00792500">
          <w:rPr>
            <w:noProof/>
            <w:webHidden/>
          </w:rPr>
        </w:r>
        <w:r w:rsidR="00792500">
          <w:rPr>
            <w:noProof/>
            <w:webHidden/>
          </w:rPr>
          <w:fldChar w:fldCharType="separate"/>
        </w:r>
        <w:r w:rsidR="00DF7388">
          <w:rPr>
            <w:noProof/>
            <w:webHidden/>
          </w:rPr>
          <w:t>8</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388" w:history="1">
        <w:r w:rsidR="00DF7388" w:rsidRPr="005F3E34">
          <w:rPr>
            <w:rStyle w:val="Lienhypertexte"/>
            <w:noProof/>
          </w:rPr>
          <w:t>INTRODUCTION</w:t>
        </w:r>
        <w:r w:rsidR="00DF7388">
          <w:rPr>
            <w:noProof/>
            <w:webHidden/>
          </w:rPr>
          <w:tab/>
        </w:r>
        <w:r w:rsidR="00792500">
          <w:rPr>
            <w:noProof/>
            <w:webHidden/>
          </w:rPr>
          <w:fldChar w:fldCharType="begin"/>
        </w:r>
        <w:r w:rsidR="00DF7388">
          <w:rPr>
            <w:noProof/>
            <w:webHidden/>
          </w:rPr>
          <w:instrText xml:space="preserve"> PAGEREF _Toc426359388 \h </w:instrText>
        </w:r>
        <w:r w:rsidR="00792500">
          <w:rPr>
            <w:noProof/>
            <w:webHidden/>
          </w:rPr>
        </w:r>
        <w:r w:rsidR="00792500">
          <w:rPr>
            <w:noProof/>
            <w:webHidden/>
          </w:rPr>
          <w:fldChar w:fldCharType="separate"/>
        </w:r>
        <w:r w:rsidR="00DF7388">
          <w:rPr>
            <w:noProof/>
            <w:webHidden/>
          </w:rPr>
          <w:t>9</w:t>
        </w:r>
        <w:r w:rsidR="00792500">
          <w:rPr>
            <w:noProof/>
            <w:webHidden/>
          </w:rPr>
          <w:fldChar w:fldCharType="end"/>
        </w:r>
      </w:hyperlink>
    </w:p>
    <w:p w:rsidR="00DF7388" w:rsidRDefault="00EE3E92">
      <w:pPr>
        <w:pStyle w:val="TM2"/>
        <w:tabs>
          <w:tab w:val="right" w:leader="dot" w:pos="9062"/>
        </w:tabs>
        <w:rPr>
          <w:rFonts w:asciiTheme="minorHAnsi" w:eastAsiaTheme="minorEastAsia" w:hAnsiTheme="minorHAnsi" w:cstheme="minorBidi"/>
          <w:noProof/>
          <w:lang w:eastAsia="fr-FR"/>
        </w:rPr>
      </w:pPr>
      <w:hyperlink w:anchor="_Toc426359389" w:history="1">
        <w:r w:rsidR="00DF7388" w:rsidRPr="005F3E34">
          <w:rPr>
            <w:rStyle w:val="Lienhypertexte"/>
            <w:noProof/>
          </w:rPr>
          <w:t>CHAPITRE 1 : CARACTERISTIQUES SOCIO-DEMOGRAPHIQUES DES MENAGES ENQUETES</w:t>
        </w:r>
        <w:r w:rsidR="00DF7388">
          <w:rPr>
            <w:noProof/>
            <w:webHidden/>
          </w:rPr>
          <w:tab/>
        </w:r>
        <w:r w:rsidR="00792500">
          <w:rPr>
            <w:noProof/>
            <w:webHidden/>
          </w:rPr>
          <w:fldChar w:fldCharType="begin"/>
        </w:r>
        <w:r w:rsidR="00DF7388">
          <w:rPr>
            <w:noProof/>
            <w:webHidden/>
          </w:rPr>
          <w:instrText xml:space="preserve"> PAGEREF _Toc426359389 \h </w:instrText>
        </w:r>
        <w:r w:rsidR="00792500">
          <w:rPr>
            <w:noProof/>
            <w:webHidden/>
          </w:rPr>
        </w:r>
        <w:r w:rsidR="00792500">
          <w:rPr>
            <w:noProof/>
            <w:webHidden/>
          </w:rPr>
          <w:fldChar w:fldCharType="separate"/>
        </w:r>
        <w:r w:rsidR="00DF7388">
          <w:rPr>
            <w:noProof/>
            <w:webHidden/>
          </w:rPr>
          <w:t>11</w:t>
        </w:r>
        <w:r w:rsidR="00792500">
          <w:rPr>
            <w:noProof/>
            <w:webHidden/>
          </w:rPr>
          <w:fldChar w:fldCharType="end"/>
        </w:r>
      </w:hyperlink>
    </w:p>
    <w:p w:rsidR="00DF7388" w:rsidRDefault="00EE3E92">
      <w:pPr>
        <w:pStyle w:val="TM3"/>
        <w:tabs>
          <w:tab w:val="left" w:pos="1100"/>
          <w:tab w:val="right" w:leader="dot" w:pos="9062"/>
        </w:tabs>
        <w:rPr>
          <w:rFonts w:asciiTheme="minorHAnsi" w:eastAsiaTheme="minorEastAsia" w:hAnsiTheme="minorHAnsi" w:cstheme="minorBidi"/>
          <w:noProof/>
          <w:lang w:eastAsia="fr-FR"/>
        </w:rPr>
      </w:pPr>
      <w:hyperlink w:anchor="_Toc426359390" w:history="1">
        <w:r w:rsidR="00DF7388" w:rsidRPr="005F3E34">
          <w:rPr>
            <w:rStyle w:val="Lienhypertexte"/>
            <w:noProof/>
          </w:rPr>
          <w:t>1.1.</w:t>
        </w:r>
        <w:r w:rsidR="00DF7388">
          <w:rPr>
            <w:rFonts w:asciiTheme="minorHAnsi" w:eastAsiaTheme="minorEastAsia" w:hAnsiTheme="minorHAnsi" w:cstheme="minorBidi"/>
            <w:noProof/>
            <w:lang w:eastAsia="fr-FR"/>
          </w:rPr>
          <w:tab/>
        </w:r>
        <w:r w:rsidR="00DF7388" w:rsidRPr="005F3E34">
          <w:rPr>
            <w:rStyle w:val="Lienhypertexte"/>
            <w:noProof/>
          </w:rPr>
          <w:t>Structure des ménages par sexe et par âge du chef de ménage</w:t>
        </w:r>
        <w:r w:rsidR="00DF7388">
          <w:rPr>
            <w:noProof/>
            <w:webHidden/>
          </w:rPr>
          <w:tab/>
        </w:r>
        <w:r w:rsidR="00792500">
          <w:rPr>
            <w:noProof/>
            <w:webHidden/>
          </w:rPr>
          <w:fldChar w:fldCharType="begin"/>
        </w:r>
        <w:r w:rsidR="00DF7388">
          <w:rPr>
            <w:noProof/>
            <w:webHidden/>
          </w:rPr>
          <w:instrText xml:space="preserve"> PAGEREF _Toc426359390 \h </w:instrText>
        </w:r>
        <w:r w:rsidR="00792500">
          <w:rPr>
            <w:noProof/>
            <w:webHidden/>
          </w:rPr>
        </w:r>
        <w:r w:rsidR="00792500">
          <w:rPr>
            <w:noProof/>
            <w:webHidden/>
          </w:rPr>
          <w:fldChar w:fldCharType="separate"/>
        </w:r>
        <w:r w:rsidR="00DF7388">
          <w:rPr>
            <w:noProof/>
            <w:webHidden/>
          </w:rPr>
          <w:t>11</w:t>
        </w:r>
        <w:r w:rsidR="00792500">
          <w:rPr>
            <w:noProof/>
            <w:webHidden/>
          </w:rPr>
          <w:fldChar w:fldCharType="end"/>
        </w:r>
      </w:hyperlink>
    </w:p>
    <w:p w:rsidR="00DF7388" w:rsidRDefault="00EE3E92">
      <w:pPr>
        <w:pStyle w:val="TM3"/>
        <w:tabs>
          <w:tab w:val="left" w:pos="1100"/>
          <w:tab w:val="right" w:leader="dot" w:pos="9062"/>
        </w:tabs>
        <w:rPr>
          <w:rFonts w:asciiTheme="minorHAnsi" w:eastAsiaTheme="minorEastAsia" w:hAnsiTheme="minorHAnsi" w:cstheme="minorBidi"/>
          <w:noProof/>
          <w:lang w:eastAsia="fr-FR"/>
        </w:rPr>
      </w:pPr>
      <w:hyperlink w:anchor="_Toc426359391" w:history="1">
        <w:r w:rsidR="00DF7388" w:rsidRPr="005F3E34">
          <w:rPr>
            <w:rStyle w:val="Lienhypertexte"/>
            <w:noProof/>
          </w:rPr>
          <w:t>1.2.</w:t>
        </w:r>
        <w:r w:rsidR="00DF7388">
          <w:rPr>
            <w:rFonts w:asciiTheme="minorHAnsi" w:eastAsiaTheme="minorEastAsia" w:hAnsiTheme="minorHAnsi" w:cstheme="minorBidi"/>
            <w:noProof/>
            <w:lang w:eastAsia="fr-FR"/>
          </w:rPr>
          <w:tab/>
        </w:r>
        <w:r w:rsidR="00DF7388" w:rsidRPr="005F3E34">
          <w:rPr>
            <w:rStyle w:val="Lienhypertexte"/>
            <w:noProof/>
          </w:rPr>
          <w:t>Instruction scolaire et alphabétisation des chefs de ménage</w:t>
        </w:r>
        <w:r w:rsidR="00DF7388">
          <w:rPr>
            <w:noProof/>
            <w:webHidden/>
          </w:rPr>
          <w:tab/>
        </w:r>
        <w:r w:rsidR="00792500">
          <w:rPr>
            <w:noProof/>
            <w:webHidden/>
          </w:rPr>
          <w:fldChar w:fldCharType="begin"/>
        </w:r>
        <w:r w:rsidR="00DF7388">
          <w:rPr>
            <w:noProof/>
            <w:webHidden/>
          </w:rPr>
          <w:instrText xml:space="preserve"> PAGEREF _Toc426359391 \h </w:instrText>
        </w:r>
        <w:r w:rsidR="00792500">
          <w:rPr>
            <w:noProof/>
            <w:webHidden/>
          </w:rPr>
        </w:r>
        <w:r w:rsidR="00792500">
          <w:rPr>
            <w:noProof/>
            <w:webHidden/>
          </w:rPr>
          <w:fldChar w:fldCharType="separate"/>
        </w:r>
        <w:r w:rsidR="00DF7388">
          <w:rPr>
            <w:noProof/>
            <w:webHidden/>
          </w:rPr>
          <w:t>13</w:t>
        </w:r>
        <w:r w:rsidR="00792500">
          <w:rPr>
            <w:noProof/>
            <w:webHidden/>
          </w:rPr>
          <w:fldChar w:fldCharType="end"/>
        </w:r>
      </w:hyperlink>
    </w:p>
    <w:p w:rsidR="00DF7388" w:rsidRDefault="00EE3E92">
      <w:pPr>
        <w:pStyle w:val="TM3"/>
        <w:tabs>
          <w:tab w:val="left" w:pos="1100"/>
          <w:tab w:val="right" w:leader="dot" w:pos="9062"/>
        </w:tabs>
        <w:rPr>
          <w:rFonts w:asciiTheme="minorHAnsi" w:eastAsiaTheme="minorEastAsia" w:hAnsiTheme="minorHAnsi" w:cstheme="minorBidi"/>
          <w:noProof/>
          <w:lang w:eastAsia="fr-FR"/>
        </w:rPr>
      </w:pPr>
      <w:hyperlink w:anchor="_Toc426359392" w:history="1">
        <w:r w:rsidR="00DF7388" w:rsidRPr="005F3E34">
          <w:rPr>
            <w:rStyle w:val="Lienhypertexte"/>
            <w:noProof/>
          </w:rPr>
          <w:t>1.3.</w:t>
        </w:r>
        <w:r w:rsidR="00DF7388">
          <w:rPr>
            <w:rFonts w:asciiTheme="minorHAnsi" w:eastAsiaTheme="minorEastAsia" w:hAnsiTheme="minorHAnsi" w:cstheme="minorBidi"/>
            <w:noProof/>
            <w:lang w:eastAsia="fr-FR"/>
          </w:rPr>
          <w:tab/>
        </w:r>
        <w:r w:rsidR="00DF7388" w:rsidRPr="005F3E34">
          <w:rPr>
            <w:rStyle w:val="Lienhypertexte"/>
            <w:noProof/>
          </w:rPr>
          <w:t>Taille et composition des ménages</w:t>
        </w:r>
        <w:r w:rsidR="00DF7388">
          <w:rPr>
            <w:noProof/>
            <w:webHidden/>
          </w:rPr>
          <w:tab/>
        </w:r>
        <w:r w:rsidR="00792500">
          <w:rPr>
            <w:noProof/>
            <w:webHidden/>
          </w:rPr>
          <w:fldChar w:fldCharType="begin"/>
        </w:r>
        <w:r w:rsidR="00DF7388">
          <w:rPr>
            <w:noProof/>
            <w:webHidden/>
          </w:rPr>
          <w:instrText xml:space="preserve"> PAGEREF _Toc426359392 \h </w:instrText>
        </w:r>
        <w:r w:rsidR="00792500">
          <w:rPr>
            <w:noProof/>
            <w:webHidden/>
          </w:rPr>
        </w:r>
        <w:r w:rsidR="00792500">
          <w:rPr>
            <w:noProof/>
            <w:webHidden/>
          </w:rPr>
          <w:fldChar w:fldCharType="separate"/>
        </w:r>
        <w:r w:rsidR="00DF7388">
          <w:rPr>
            <w:noProof/>
            <w:webHidden/>
          </w:rPr>
          <w:t>15</w:t>
        </w:r>
        <w:r w:rsidR="00792500">
          <w:rPr>
            <w:noProof/>
            <w:webHidden/>
          </w:rPr>
          <w:fldChar w:fldCharType="end"/>
        </w:r>
      </w:hyperlink>
    </w:p>
    <w:p w:rsidR="00DF7388" w:rsidRDefault="00EE3E92">
      <w:pPr>
        <w:pStyle w:val="TM3"/>
        <w:tabs>
          <w:tab w:val="left" w:pos="1100"/>
          <w:tab w:val="right" w:leader="dot" w:pos="9062"/>
        </w:tabs>
        <w:rPr>
          <w:rFonts w:asciiTheme="minorHAnsi" w:eastAsiaTheme="minorEastAsia" w:hAnsiTheme="minorHAnsi" w:cstheme="minorBidi"/>
          <w:noProof/>
          <w:lang w:eastAsia="fr-FR"/>
        </w:rPr>
      </w:pPr>
      <w:hyperlink w:anchor="_Toc426359393" w:history="1">
        <w:r w:rsidR="00DF7388" w:rsidRPr="005F3E34">
          <w:rPr>
            <w:rStyle w:val="Lienhypertexte"/>
            <w:noProof/>
          </w:rPr>
          <w:t>1.4.</w:t>
        </w:r>
        <w:r w:rsidR="00DF7388">
          <w:rPr>
            <w:rFonts w:asciiTheme="minorHAnsi" w:eastAsiaTheme="minorEastAsia" w:hAnsiTheme="minorHAnsi" w:cstheme="minorBidi"/>
            <w:noProof/>
            <w:lang w:eastAsia="fr-FR"/>
          </w:rPr>
          <w:tab/>
        </w:r>
        <w:r w:rsidR="00DF7388" w:rsidRPr="005F3E34">
          <w:rPr>
            <w:rStyle w:val="Lienhypertexte"/>
            <w:noProof/>
          </w:rPr>
          <w:t>Caractéristiques de l’habitat des ménages</w:t>
        </w:r>
        <w:r w:rsidR="00DF7388">
          <w:rPr>
            <w:noProof/>
            <w:webHidden/>
          </w:rPr>
          <w:tab/>
        </w:r>
        <w:r w:rsidR="00792500">
          <w:rPr>
            <w:noProof/>
            <w:webHidden/>
          </w:rPr>
          <w:fldChar w:fldCharType="begin"/>
        </w:r>
        <w:r w:rsidR="00DF7388">
          <w:rPr>
            <w:noProof/>
            <w:webHidden/>
          </w:rPr>
          <w:instrText xml:space="preserve"> PAGEREF _Toc426359393 \h </w:instrText>
        </w:r>
        <w:r w:rsidR="00792500">
          <w:rPr>
            <w:noProof/>
            <w:webHidden/>
          </w:rPr>
        </w:r>
        <w:r w:rsidR="00792500">
          <w:rPr>
            <w:noProof/>
            <w:webHidden/>
          </w:rPr>
          <w:fldChar w:fldCharType="separate"/>
        </w:r>
        <w:r w:rsidR="00DF7388">
          <w:rPr>
            <w:noProof/>
            <w:webHidden/>
          </w:rPr>
          <w:t>18</w:t>
        </w:r>
        <w:r w:rsidR="00792500">
          <w:rPr>
            <w:noProof/>
            <w:webHidden/>
          </w:rPr>
          <w:fldChar w:fldCharType="end"/>
        </w:r>
      </w:hyperlink>
    </w:p>
    <w:p w:rsidR="00DF7388" w:rsidRDefault="00EE3E92">
      <w:pPr>
        <w:pStyle w:val="TM3"/>
        <w:tabs>
          <w:tab w:val="left" w:pos="1100"/>
          <w:tab w:val="right" w:leader="dot" w:pos="9062"/>
        </w:tabs>
        <w:rPr>
          <w:rFonts w:asciiTheme="minorHAnsi" w:eastAsiaTheme="minorEastAsia" w:hAnsiTheme="minorHAnsi" w:cstheme="minorBidi"/>
          <w:noProof/>
          <w:lang w:eastAsia="fr-FR"/>
        </w:rPr>
      </w:pPr>
      <w:hyperlink w:anchor="_Toc426359394" w:history="1">
        <w:r w:rsidR="00DF7388" w:rsidRPr="005F3E34">
          <w:rPr>
            <w:rStyle w:val="Lienhypertexte"/>
            <w:noProof/>
          </w:rPr>
          <w:t>1.5.</w:t>
        </w:r>
        <w:r w:rsidR="00DF7388">
          <w:rPr>
            <w:rFonts w:asciiTheme="minorHAnsi" w:eastAsiaTheme="minorEastAsia" w:hAnsiTheme="minorHAnsi" w:cstheme="minorBidi"/>
            <w:noProof/>
            <w:lang w:eastAsia="fr-FR"/>
          </w:rPr>
          <w:tab/>
        </w:r>
        <w:r w:rsidR="00DF7388" w:rsidRPr="005F3E34">
          <w:rPr>
            <w:rStyle w:val="Lienhypertexte"/>
            <w:noProof/>
          </w:rPr>
          <w:t>Situation d’emploi, moyens d’existence et biens possédés par les ménages</w:t>
        </w:r>
        <w:r w:rsidR="00DF7388">
          <w:rPr>
            <w:noProof/>
            <w:webHidden/>
          </w:rPr>
          <w:tab/>
        </w:r>
        <w:r w:rsidR="00792500">
          <w:rPr>
            <w:noProof/>
            <w:webHidden/>
          </w:rPr>
          <w:fldChar w:fldCharType="begin"/>
        </w:r>
        <w:r w:rsidR="00DF7388">
          <w:rPr>
            <w:noProof/>
            <w:webHidden/>
          </w:rPr>
          <w:instrText xml:space="preserve"> PAGEREF _Toc426359394 \h </w:instrText>
        </w:r>
        <w:r w:rsidR="00792500">
          <w:rPr>
            <w:noProof/>
            <w:webHidden/>
          </w:rPr>
        </w:r>
        <w:r w:rsidR="00792500">
          <w:rPr>
            <w:noProof/>
            <w:webHidden/>
          </w:rPr>
          <w:fldChar w:fldCharType="separate"/>
        </w:r>
        <w:r w:rsidR="00DF7388">
          <w:rPr>
            <w:noProof/>
            <w:webHidden/>
          </w:rPr>
          <w:t>24</w:t>
        </w:r>
        <w:r w:rsidR="00792500">
          <w:rPr>
            <w:noProof/>
            <w:webHidden/>
          </w:rPr>
          <w:fldChar w:fldCharType="end"/>
        </w:r>
      </w:hyperlink>
    </w:p>
    <w:p w:rsidR="00DF7388" w:rsidRDefault="00EE3E92">
      <w:pPr>
        <w:pStyle w:val="TM2"/>
        <w:tabs>
          <w:tab w:val="right" w:leader="dot" w:pos="9062"/>
        </w:tabs>
        <w:rPr>
          <w:rFonts w:asciiTheme="minorHAnsi" w:eastAsiaTheme="minorEastAsia" w:hAnsiTheme="minorHAnsi" w:cstheme="minorBidi"/>
          <w:noProof/>
          <w:lang w:eastAsia="fr-FR"/>
        </w:rPr>
      </w:pPr>
      <w:hyperlink w:anchor="_Toc426359395" w:history="1">
        <w:r w:rsidR="00DF7388" w:rsidRPr="005F3E34">
          <w:rPr>
            <w:rStyle w:val="Lienhypertexte"/>
            <w:noProof/>
          </w:rPr>
          <w:t>CHAPITRE 2 : UTILISATION DE L’ENERGIE PAR LES MENAGES ET ADEQUATION AVEC LES BESOINS</w:t>
        </w:r>
        <w:r w:rsidR="00DF7388">
          <w:rPr>
            <w:noProof/>
            <w:webHidden/>
          </w:rPr>
          <w:tab/>
        </w:r>
        <w:r w:rsidR="00792500">
          <w:rPr>
            <w:noProof/>
            <w:webHidden/>
          </w:rPr>
          <w:fldChar w:fldCharType="begin"/>
        </w:r>
        <w:r w:rsidR="00DF7388">
          <w:rPr>
            <w:noProof/>
            <w:webHidden/>
          </w:rPr>
          <w:instrText xml:space="preserve"> PAGEREF _Toc426359395 \h </w:instrText>
        </w:r>
        <w:r w:rsidR="00792500">
          <w:rPr>
            <w:noProof/>
            <w:webHidden/>
          </w:rPr>
        </w:r>
        <w:r w:rsidR="00792500">
          <w:rPr>
            <w:noProof/>
            <w:webHidden/>
          </w:rPr>
          <w:fldChar w:fldCharType="separate"/>
        </w:r>
        <w:r w:rsidR="00DF7388">
          <w:rPr>
            <w:noProof/>
            <w:webHidden/>
          </w:rPr>
          <w:t>35</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396" w:history="1">
        <w:r w:rsidR="00DF7388" w:rsidRPr="005F3E34">
          <w:rPr>
            <w:rStyle w:val="Lienhypertexte"/>
            <w:noProof/>
          </w:rPr>
          <w:t>2.1. Accès à l’électricité et sources d’énergie utilisées</w:t>
        </w:r>
        <w:r w:rsidR="00DF7388">
          <w:rPr>
            <w:noProof/>
            <w:webHidden/>
          </w:rPr>
          <w:tab/>
        </w:r>
        <w:r w:rsidR="00792500">
          <w:rPr>
            <w:noProof/>
            <w:webHidden/>
          </w:rPr>
          <w:fldChar w:fldCharType="begin"/>
        </w:r>
        <w:r w:rsidR="00DF7388">
          <w:rPr>
            <w:noProof/>
            <w:webHidden/>
          </w:rPr>
          <w:instrText xml:space="preserve"> PAGEREF _Toc426359396 \h </w:instrText>
        </w:r>
        <w:r w:rsidR="00792500">
          <w:rPr>
            <w:noProof/>
            <w:webHidden/>
          </w:rPr>
        </w:r>
        <w:r w:rsidR="00792500">
          <w:rPr>
            <w:noProof/>
            <w:webHidden/>
          </w:rPr>
          <w:fldChar w:fldCharType="separate"/>
        </w:r>
        <w:r w:rsidR="00DF7388">
          <w:rPr>
            <w:noProof/>
            <w:webHidden/>
          </w:rPr>
          <w:t>35</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397" w:history="1">
        <w:r w:rsidR="00DF7388" w:rsidRPr="005F3E34">
          <w:rPr>
            <w:rStyle w:val="Lienhypertexte"/>
            <w:noProof/>
          </w:rPr>
          <w:t>2.2. Distribution de l’énergie à d’autres usagers</w:t>
        </w:r>
        <w:r w:rsidR="00DF7388">
          <w:rPr>
            <w:noProof/>
            <w:webHidden/>
          </w:rPr>
          <w:tab/>
        </w:r>
        <w:r w:rsidR="00792500">
          <w:rPr>
            <w:noProof/>
            <w:webHidden/>
          </w:rPr>
          <w:fldChar w:fldCharType="begin"/>
        </w:r>
        <w:r w:rsidR="00DF7388">
          <w:rPr>
            <w:noProof/>
            <w:webHidden/>
          </w:rPr>
          <w:instrText xml:space="preserve"> PAGEREF _Toc426359397 \h </w:instrText>
        </w:r>
        <w:r w:rsidR="00792500">
          <w:rPr>
            <w:noProof/>
            <w:webHidden/>
          </w:rPr>
        </w:r>
        <w:r w:rsidR="00792500">
          <w:rPr>
            <w:noProof/>
            <w:webHidden/>
          </w:rPr>
          <w:fldChar w:fldCharType="separate"/>
        </w:r>
        <w:r w:rsidR="00DF7388">
          <w:rPr>
            <w:noProof/>
            <w:webHidden/>
          </w:rPr>
          <w:t>45</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398" w:history="1">
        <w:r w:rsidR="00DF7388" w:rsidRPr="005F3E34">
          <w:rPr>
            <w:rStyle w:val="Lienhypertexte"/>
            <w:noProof/>
          </w:rPr>
          <w:t>2.3. Utilisations faites des différentes sources d’énergie et dépenses en énergie</w:t>
        </w:r>
        <w:r w:rsidR="00DF7388">
          <w:rPr>
            <w:noProof/>
            <w:webHidden/>
          </w:rPr>
          <w:tab/>
        </w:r>
        <w:r w:rsidR="00792500">
          <w:rPr>
            <w:noProof/>
            <w:webHidden/>
          </w:rPr>
          <w:fldChar w:fldCharType="begin"/>
        </w:r>
        <w:r w:rsidR="00DF7388">
          <w:rPr>
            <w:noProof/>
            <w:webHidden/>
          </w:rPr>
          <w:instrText xml:space="preserve"> PAGEREF _Toc426359398 \h </w:instrText>
        </w:r>
        <w:r w:rsidR="00792500">
          <w:rPr>
            <w:noProof/>
            <w:webHidden/>
          </w:rPr>
        </w:r>
        <w:r w:rsidR="00792500">
          <w:rPr>
            <w:noProof/>
            <w:webHidden/>
          </w:rPr>
          <w:fldChar w:fldCharType="separate"/>
        </w:r>
        <w:r w:rsidR="00DF7388">
          <w:rPr>
            <w:noProof/>
            <w:webHidden/>
          </w:rPr>
          <w:t>49</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399" w:history="1">
        <w:r w:rsidR="00DF7388" w:rsidRPr="005F3E34">
          <w:rPr>
            <w:rStyle w:val="Lienhypertexte"/>
            <w:noProof/>
          </w:rPr>
          <w:t>2.4. Disponibilité de l’énergie électrique et couverture des besoins</w:t>
        </w:r>
        <w:r w:rsidR="00DF7388">
          <w:rPr>
            <w:noProof/>
            <w:webHidden/>
          </w:rPr>
          <w:tab/>
        </w:r>
        <w:r w:rsidR="00792500">
          <w:rPr>
            <w:noProof/>
            <w:webHidden/>
          </w:rPr>
          <w:fldChar w:fldCharType="begin"/>
        </w:r>
        <w:r w:rsidR="00DF7388">
          <w:rPr>
            <w:noProof/>
            <w:webHidden/>
          </w:rPr>
          <w:instrText xml:space="preserve"> PAGEREF _Toc426359399 \h </w:instrText>
        </w:r>
        <w:r w:rsidR="00792500">
          <w:rPr>
            <w:noProof/>
            <w:webHidden/>
          </w:rPr>
        </w:r>
        <w:r w:rsidR="00792500">
          <w:rPr>
            <w:noProof/>
            <w:webHidden/>
          </w:rPr>
          <w:fldChar w:fldCharType="separate"/>
        </w:r>
        <w:r w:rsidR="00DF7388">
          <w:rPr>
            <w:noProof/>
            <w:webHidden/>
          </w:rPr>
          <w:t>55</w:t>
        </w:r>
        <w:r w:rsidR="00792500">
          <w:rPr>
            <w:noProof/>
            <w:webHidden/>
          </w:rPr>
          <w:fldChar w:fldCharType="end"/>
        </w:r>
      </w:hyperlink>
    </w:p>
    <w:p w:rsidR="00DF7388" w:rsidRDefault="00EE3E92">
      <w:pPr>
        <w:pStyle w:val="TM2"/>
        <w:tabs>
          <w:tab w:val="right" w:leader="dot" w:pos="9062"/>
        </w:tabs>
        <w:rPr>
          <w:rFonts w:asciiTheme="minorHAnsi" w:eastAsiaTheme="minorEastAsia" w:hAnsiTheme="minorHAnsi" w:cstheme="minorBidi"/>
          <w:noProof/>
          <w:lang w:eastAsia="fr-FR"/>
        </w:rPr>
      </w:pPr>
      <w:hyperlink w:anchor="_Toc426359400" w:history="1">
        <w:r w:rsidR="00DF7388" w:rsidRPr="005F3E34">
          <w:rPr>
            <w:rStyle w:val="Lienhypertexte"/>
            <w:noProof/>
          </w:rPr>
          <w:t>CHAPITRE 3 : ACCES A L’ELECTRICITE ET OPINIONS DES MENAGES SUR LA QUALITE DES SERVICES DE LA SBEE</w:t>
        </w:r>
        <w:r w:rsidR="00DF7388">
          <w:rPr>
            <w:noProof/>
            <w:webHidden/>
          </w:rPr>
          <w:tab/>
        </w:r>
        <w:r w:rsidR="00792500">
          <w:rPr>
            <w:noProof/>
            <w:webHidden/>
          </w:rPr>
          <w:fldChar w:fldCharType="begin"/>
        </w:r>
        <w:r w:rsidR="00DF7388">
          <w:rPr>
            <w:noProof/>
            <w:webHidden/>
          </w:rPr>
          <w:instrText xml:space="preserve"> PAGEREF _Toc426359400 \h </w:instrText>
        </w:r>
        <w:r w:rsidR="00792500">
          <w:rPr>
            <w:noProof/>
            <w:webHidden/>
          </w:rPr>
        </w:r>
        <w:r w:rsidR="00792500">
          <w:rPr>
            <w:noProof/>
            <w:webHidden/>
          </w:rPr>
          <w:fldChar w:fldCharType="separate"/>
        </w:r>
        <w:r w:rsidR="00DF7388">
          <w:rPr>
            <w:noProof/>
            <w:webHidden/>
          </w:rPr>
          <w:t>60</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1" w:history="1">
        <w:r w:rsidR="00DF7388" w:rsidRPr="005F3E34">
          <w:rPr>
            <w:rStyle w:val="Lienhypertexte"/>
            <w:noProof/>
          </w:rPr>
          <w:t>3.1. Niveau de consommation de l’électricité de la SBEE</w:t>
        </w:r>
        <w:r w:rsidR="00DF7388">
          <w:rPr>
            <w:noProof/>
            <w:webHidden/>
          </w:rPr>
          <w:tab/>
        </w:r>
        <w:r w:rsidR="00792500">
          <w:rPr>
            <w:noProof/>
            <w:webHidden/>
          </w:rPr>
          <w:fldChar w:fldCharType="begin"/>
        </w:r>
        <w:r w:rsidR="00DF7388">
          <w:rPr>
            <w:noProof/>
            <w:webHidden/>
          </w:rPr>
          <w:instrText xml:space="preserve"> PAGEREF _Toc426359401 \h </w:instrText>
        </w:r>
        <w:r w:rsidR="00792500">
          <w:rPr>
            <w:noProof/>
            <w:webHidden/>
          </w:rPr>
        </w:r>
        <w:r w:rsidR="00792500">
          <w:rPr>
            <w:noProof/>
            <w:webHidden/>
          </w:rPr>
          <w:fldChar w:fldCharType="separate"/>
        </w:r>
        <w:r w:rsidR="00DF7388">
          <w:rPr>
            <w:noProof/>
            <w:webHidden/>
          </w:rPr>
          <w:t>60</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2" w:history="1">
        <w:r w:rsidR="00DF7388" w:rsidRPr="005F3E34">
          <w:rPr>
            <w:rStyle w:val="Lienhypertexte"/>
            <w:noProof/>
          </w:rPr>
          <w:t>3.2. Facturation de la consommation d’électricité</w:t>
        </w:r>
        <w:r w:rsidR="00DF7388">
          <w:rPr>
            <w:noProof/>
            <w:webHidden/>
          </w:rPr>
          <w:tab/>
        </w:r>
        <w:r w:rsidR="00792500">
          <w:rPr>
            <w:noProof/>
            <w:webHidden/>
          </w:rPr>
          <w:fldChar w:fldCharType="begin"/>
        </w:r>
        <w:r w:rsidR="00DF7388">
          <w:rPr>
            <w:noProof/>
            <w:webHidden/>
          </w:rPr>
          <w:instrText xml:space="preserve"> PAGEREF _Toc426359402 \h </w:instrText>
        </w:r>
        <w:r w:rsidR="00792500">
          <w:rPr>
            <w:noProof/>
            <w:webHidden/>
          </w:rPr>
        </w:r>
        <w:r w:rsidR="00792500">
          <w:rPr>
            <w:noProof/>
            <w:webHidden/>
          </w:rPr>
          <w:fldChar w:fldCharType="separate"/>
        </w:r>
        <w:r w:rsidR="00DF7388">
          <w:rPr>
            <w:noProof/>
            <w:webHidden/>
          </w:rPr>
          <w:t>63</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3" w:history="1">
        <w:r w:rsidR="00DF7388" w:rsidRPr="005F3E34">
          <w:rPr>
            <w:rStyle w:val="Lienhypertexte"/>
            <w:noProof/>
          </w:rPr>
          <w:t>3.3. Impact des coupures et baisses de tension sur les ménages</w:t>
        </w:r>
        <w:r w:rsidR="00DF7388">
          <w:rPr>
            <w:noProof/>
            <w:webHidden/>
          </w:rPr>
          <w:tab/>
        </w:r>
        <w:r w:rsidR="00792500">
          <w:rPr>
            <w:noProof/>
            <w:webHidden/>
          </w:rPr>
          <w:fldChar w:fldCharType="begin"/>
        </w:r>
        <w:r w:rsidR="00DF7388">
          <w:rPr>
            <w:noProof/>
            <w:webHidden/>
          </w:rPr>
          <w:instrText xml:space="preserve"> PAGEREF _Toc426359403 \h </w:instrText>
        </w:r>
        <w:r w:rsidR="00792500">
          <w:rPr>
            <w:noProof/>
            <w:webHidden/>
          </w:rPr>
        </w:r>
        <w:r w:rsidR="00792500">
          <w:rPr>
            <w:noProof/>
            <w:webHidden/>
          </w:rPr>
          <w:fldChar w:fldCharType="separate"/>
        </w:r>
        <w:r w:rsidR="00DF7388">
          <w:rPr>
            <w:noProof/>
            <w:webHidden/>
          </w:rPr>
          <w:t>68</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4" w:history="1">
        <w:r w:rsidR="00DF7388" w:rsidRPr="005F3E34">
          <w:rPr>
            <w:rStyle w:val="Lienhypertexte"/>
            <w:noProof/>
          </w:rPr>
          <w:t>3.4. Appréciation de la qualité des services de la SBEE par les ménages</w:t>
        </w:r>
        <w:r w:rsidR="00DF7388">
          <w:rPr>
            <w:noProof/>
            <w:webHidden/>
          </w:rPr>
          <w:tab/>
        </w:r>
        <w:r w:rsidR="00792500">
          <w:rPr>
            <w:noProof/>
            <w:webHidden/>
          </w:rPr>
          <w:fldChar w:fldCharType="begin"/>
        </w:r>
        <w:r w:rsidR="00DF7388">
          <w:rPr>
            <w:noProof/>
            <w:webHidden/>
          </w:rPr>
          <w:instrText xml:space="preserve"> PAGEREF _Toc426359404 \h </w:instrText>
        </w:r>
        <w:r w:rsidR="00792500">
          <w:rPr>
            <w:noProof/>
            <w:webHidden/>
          </w:rPr>
        </w:r>
        <w:r w:rsidR="00792500">
          <w:rPr>
            <w:noProof/>
            <w:webHidden/>
          </w:rPr>
          <w:fldChar w:fldCharType="separate"/>
        </w:r>
        <w:r w:rsidR="00DF7388">
          <w:rPr>
            <w:noProof/>
            <w:webHidden/>
          </w:rPr>
          <w:t>73</w:t>
        </w:r>
        <w:r w:rsidR="00792500">
          <w:rPr>
            <w:noProof/>
            <w:webHidden/>
          </w:rPr>
          <w:fldChar w:fldCharType="end"/>
        </w:r>
      </w:hyperlink>
    </w:p>
    <w:p w:rsidR="00DF7388" w:rsidRDefault="00EE3E92">
      <w:pPr>
        <w:pStyle w:val="TM2"/>
        <w:tabs>
          <w:tab w:val="right" w:leader="dot" w:pos="9062"/>
        </w:tabs>
        <w:rPr>
          <w:rFonts w:asciiTheme="minorHAnsi" w:eastAsiaTheme="minorEastAsia" w:hAnsiTheme="minorHAnsi" w:cstheme="minorBidi"/>
          <w:noProof/>
          <w:lang w:eastAsia="fr-FR"/>
        </w:rPr>
      </w:pPr>
      <w:hyperlink w:anchor="_Toc426359405" w:history="1">
        <w:r w:rsidR="00DF7388" w:rsidRPr="005F3E34">
          <w:rPr>
            <w:rStyle w:val="Lienhypertexte"/>
            <w:noProof/>
          </w:rPr>
          <w:t>CHAPITRE 4 : VOLONTE ET CAPACITE DES MENAGES A PAYER POUR UNE ENERGIE ELECTRIQUE DE QUALITE</w:t>
        </w:r>
        <w:r w:rsidR="00DF7388">
          <w:rPr>
            <w:noProof/>
            <w:webHidden/>
          </w:rPr>
          <w:tab/>
        </w:r>
        <w:r w:rsidR="00792500">
          <w:rPr>
            <w:noProof/>
            <w:webHidden/>
          </w:rPr>
          <w:fldChar w:fldCharType="begin"/>
        </w:r>
        <w:r w:rsidR="00DF7388">
          <w:rPr>
            <w:noProof/>
            <w:webHidden/>
          </w:rPr>
          <w:instrText xml:space="preserve"> PAGEREF _Toc426359405 \h </w:instrText>
        </w:r>
        <w:r w:rsidR="00792500">
          <w:rPr>
            <w:noProof/>
            <w:webHidden/>
          </w:rPr>
        </w:r>
        <w:r w:rsidR="00792500">
          <w:rPr>
            <w:noProof/>
            <w:webHidden/>
          </w:rPr>
          <w:fldChar w:fldCharType="separate"/>
        </w:r>
        <w:r w:rsidR="00DF7388">
          <w:rPr>
            <w:noProof/>
            <w:webHidden/>
          </w:rPr>
          <w:t>75</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6" w:history="1">
        <w:r w:rsidR="00DF7388" w:rsidRPr="005F3E34">
          <w:rPr>
            <w:rStyle w:val="Lienhypertexte"/>
            <w:noProof/>
          </w:rPr>
          <w:t>4.1. Disposition des ménages non connectés à se raccorder au réseau de la SBEE</w:t>
        </w:r>
        <w:r w:rsidR="00DF7388">
          <w:rPr>
            <w:noProof/>
            <w:webHidden/>
          </w:rPr>
          <w:tab/>
        </w:r>
        <w:r w:rsidR="00792500">
          <w:rPr>
            <w:noProof/>
            <w:webHidden/>
          </w:rPr>
          <w:fldChar w:fldCharType="begin"/>
        </w:r>
        <w:r w:rsidR="00DF7388">
          <w:rPr>
            <w:noProof/>
            <w:webHidden/>
          </w:rPr>
          <w:instrText xml:space="preserve"> PAGEREF _Toc426359406 \h </w:instrText>
        </w:r>
        <w:r w:rsidR="00792500">
          <w:rPr>
            <w:noProof/>
            <w:webHidden/>
          </w:rPr>
        </w:r>
        <w:r w:rsidR="00792500">
          <w:rPr>
            <w:noProof/>
            <w:webHidden/>
          </w:rPr>
          <w:fldChar w:fldCharType="separate"/>
        </w:r>
        <w:r w:rsidR="00DF7388">
          <w:rPr>
            <w:noProof/>
            <w:webHidden/>
          </w:rPr>
          <w:t>75</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7" w:history="1">
        <w:r w:rsidR="00DF7388" w:rsidRPr="005F3E34">
          <w:rPr>
            <w:rStyle w:val="Lienhypertexte"/>
            <w:noProof/>
          </w:rPr>
          <w:t>4.2. Source de financement</w:t>
        </w:r>
        <w:r w:rsidR="00DF7388">
          <w:rPr>
            <w:noProof/>
            <w:webHidden/>
          </w:rPr>
          <w:tab/>
        </w:r>
        <w:r w:rsidR="00792500">
          <w:rPr>
            <w:noProof/>
            <w:webHidden/>
          </w:rPr>
          <w:fldChar w:fldCharType="begin"/>
        </w:r>
        <w:r w:rsidR="00DF7388">
          <w:rPr>
            <w:noProof/>
            <w:webHidden/>
          </w:rPr>
          <w:instrText xml:space="preserve"> PAGEREF _Toc426359407 \h </w:instrText>
        </w:r>
        <w:r w:rsidR="00792500">
          <w:rPr>
            <w:noProof/>
            <w:webHidden/>
          </w:rPr>
        </w:r>
        <w:r w:rsidR="00792500">
          <w:rPr>
            <w:noProof/>
            <w:webHidden/>
          </w:rPr>
          <w:fldChar w:fldCharType="separate"/>
        </w:r>
        <w:r w:rsidR="00DF7388">
          <w:rPr>
            <w:noProof/>
            <w:webHidden/>
          </w:rPr>
          <w:t>83</w:t>
        </w:r>
        <w:r w:rsidR="00792500">
          <w:rPr>
            <w:noProof/>
            <w:webHidden/>
          </w:rPr>
          <w:fldChar w:fldCharType="end"/>
        </w:r>
      </w:hyperlink>
    </w:p>
    <w:p w:rsidR="00DF7388" w:rsidRDefault="00EE3E92">
      <w:pPr>
        <w:pStyle w:val="TM3"/>
        <w:tabs>
          <w:tab w:val="right" w:leader="dot" w:pos="9062"/>
        </w:tabs>
        <w:rPr>
          <w:rFonts w:asciiTheme="minorHAnsi" w:eastAsiaTheme="minorEastAsia" w:hAnsiTheme="minorHAnsi" w:cstheme="minorBidi"/>
          <w:noProof/>
          <w:lang w:eastAsia="fr-FR"/>
        </w:rPr>
      </w:pPr>
      <w:hyperlink w:anchor="_Toc426359408" w:history="1">
        <w:r w:rsidR="00DF7388" w:rsidRPr="005F3E34">
          <w:rPr>
            <w:rStyle w:val="Lienhypertexte"/>
            <w:noProof/>
          </w:rPr>
          <w:t>4.3. Propension des ménages à payer d’avantage pour une meilleure qualité de service</w:t>
        </w:r>
        <w:r w:rsidR="00DF7388">
          <w:rPr>
            <w:noProof/>
            <w:webHidden/>
          </w:rPr>
          <w:tab/>
        </w:r>
        <w:r w:rsidR="00792500">
          <w:rPr>
            <w:noProof/>
            <w:webHidden/>
          </w:rPr>
          <w:fldChar w:fldCharType="begin"/>
        </w:r>
        <w:r w:rsidR="00DF7388">
          <w:rPr>
            <w:noProof/>
            <w:webHidden/>
          </w:rPr>
          <w:instrText xml:space="preserve"> PAGEREF _Toc426359408 \h </w:instrText>
        </w:r>
        <w:r w:rsidR="00792500">
          <w:rPr>
            <w:noProof/>
            <w:webHidden/>
          </w:rPr>
        </w:r>
        <w:r w:rsidR="00792500">
          <w:rPr>
            <w:noProof/>
            <w:webHidden/>
          </w:rPr>
          <w:fldChar w:fldCharType="separate"/>
        </w:r>
        <w:r w:rsidR="00DF7388">
          <w:rPr>
            <w:noProof/>
            <w:webHidden/>
          </w:rPr>
          <w:t>84</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409" w:history="1">
        <w:r w:rsidR="00DF7388" w:rsidRPr="005F3E34">
          <w:rPr>
            <w:rStyle w:val="Lienhypertexte"/>
            <w:noProof/>
          </w:rPr>
          <w:t>CONCLUSION</w:t>
        </w:r>
        <w:r w:rsidR="00DF7388">
          <w:rPr>
            <w:noProof/>
            <w:webHidden/>
          </w:rPr>
          <w:tab/>
        </w:r>
        <w:r w:rsidR="00792500">
          <w:rPr>
            <w:noProof/>
            <w:webHidden/>
          </w:rPr>
          <w:fldChar w:fldCharType="begin"/>
        </w:r>
        <w:r w:rsidR="00DF7388">
          <w:rPr>
            <w:noProof/>
            <w:webHidden/>
          </w:rPr>
          <w:instrText xml:space="preserve"> PAGEREF _Toc426359409 \h </w:instrText>
        </w:r>
        <w:r w:rsidR="00792500">
          <w:rPr>
            <w:noProof/>
            <w:webHidden/>
          </w:rPr>
        </w:r>
        <w:r w:rsidR="00792500">
          <w:rPr>
            <w:noProof/>
            <w:webHidden/>
          </w:rPr>
          <w:fldChar w:fldCharType="separate"/>
        </w:r>
        <w:r w:rsidR="00DF7388">
          <w:rPr>
            <w:noProof/>
            <w:webHidden/>
          </w:rPr>
          <w:t>91</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410" w:history="1">
        <w:r w:rsidR="00DF7388" w:rsidRPr="005F3E34">
          <w:rPr>
            <w:rStyle w:val="Lienhypertexte"/>
            <w:noProof/>
          </w:rPr>
          <w:t>ANNEXES</w:t>
        </w:r>
        <w:r w:rsidR="00DF7388">
          <w:rPr>
            <w:noProof/>
            <w:webHidden/>
          </w:rPr>
          <w:tab/>
        </w:r>
        <w:r w:rsidR="00792500">
          <w:rPr>
            <w:noProof/>
            <w:webHidden/>
          </w:rPr>
          <w:fldChar w:fldCharType="begin"/>
        </w:r>
        <w:r w:rsidR="00DF7388">
          <w:rPr>
            <w:noProof/>
            <w:webHidden/>
          </w:rPr>
          <w:instrText xml:space="preserve"> PAGEREF _Toc426359410 \h </w:instrText>
        </w:r>
        <w:r w:rsidR="00792500">
          <w:rPr>
            <w:noProof/>
            <w:webHidden/>
          </w:rPr>
        </w:r>
        <w:r w:rsidR="00792500">
          <w:rPr>
            <w:noProof/>
            <w:webHidden/>
          </w:rPr>
          <w:fldChar w:fldCharType="separate"/>
        </w:r>
        <w:r w:rsidR="00DF7388">
          <w:rPr>
            <w:noProof/>
            <w:webHidden/>
          </w:rPr>
          <w:t>92</w:t>
        </w:r>
        <w:r w:rsidR="00792500">
          <w:rPr>
            <w:noProof/>
            <w:webHidden/>
          </w:rPr>
          <w:fldChar w:fldCharType="end"/>
        </w:r>
      </w:hyperlink>
    </w:p>
    <w:p w:rsidR="00DF7388" w:rsidRDefault="00EE3E92">
      <w:pPr>
        <w:pStyle w:val="TM1"/>
        <w:tabs>
          <w:tab w:val="right" w:leader="dot" w:pos="9062"/>
        </w:tabs>
        <w:rPr>
          <w:rFonts w:asciiTheme="minorHAnsi" w:eastAsiaTheme="minorEastAsia" w:hAnsiTheme="minorHAnsi" w:cstheme="minorBidi"/>
          <w:noProof/>
          <w:sz w:val="22"/>
          <w:lang w:eastAsia="fr-FR"/>
        </w:rPr>
      </w:pPr>
      <w:hyperlink w:anchor="_Toc426359411" w:history="1">
        <w:r w:rsidR="00DF7388" w:rsidRPr="005F3E34">
          <w:rPr>
            <w:rStyle w:val="Lienhypertexte"/>
            <w:noProof/>
          </w:rPr>
          <w:t>TABLE DES MATIERES</w:t>
        </w:r>
        <w:r w:rsidR="00DF7388">
          <w:rPr>
            <w:noProof/>
            <w:webHidden/>
          </w:rPr>
          <w:tab/>
        </w:r>
        <w:r w:rsidR="00792500">
          <w:rPr>
            <w:noProof/>
            <w:webHidden/>
          </w:rPr>
          <w:fldChar w:fldCharType="begin"/>
        </w:r>
        <w:r w:rsidR="00DF7388">
          <w:rPr>
            <w:noProof/>
            <w:webHidden/>
          </w:rPr>
          <w:instrText xml:space="preserve"> PAGEREF _Toc426359411 \h </w:instrText>
        </w:r>
        <w:r w:rsidR="00792500">
          <w:rPr>
            <w:noProof/>
            <w:webHidden/>
          </w:rPr>
        </w:r>
        <w:r w:rsidR="00792500">
          <w:rPr>
            <w:noProof/>
            <w:webHidden/>
          </w:rPr>
          <w:fldChar w:fldCharType="separate"/>
        </w:r>
        <w:r w:rsidR="00DF7388">
          <w:rPr>
            <w:noProof/>
            <w:webHidden/>
          </w:rPr>
          <w:t>99</w:t>
        </w:r>
        <w:r w:rsidR="00792500">
          <w:rPr>
            <w:noProof/>
            <w:webHidden/>
          </w:rPr>
          <w:fldChar w:fldCharType="end"/>
        </w:r>
      </w:hyperlink>
    </w:p>
    <w:p w:rsidR="00982EF2" w:rsidRPr="0072397D" w:rsidRDefault="00792500" w:rsidP="009613B1">
      <w:pPr>
        <w:spacing w:line="240" w:lineRule="auto"/>
        <w:jc w:val="both"/>
        <w:rPr>
          <w:rFonts w:ascii="Trebuchet MS" w:hAnsi="Trebuchet MS"/>
          <w:sz w:val="24"/>
          <w:szCs w:val="24"/>
        </w:rPr>
      </w:pPr>
      <w:r>
        <w:rPr>
          <w:rFonts w:ascii="Trebuchet MS" w:hAnsi="Trebuchet MS"/>
          <w:sz w:val="24"/>
          <w:szCs w:val="24"/>
        </w:rPr>
        <w:fldChar w:fldCharType="end"/>
      </w:r>
      <w:r w:rsidR="00982EF2" w:rsidRPr="0072397D">
        <w:rPr>
          <w:rFonts w:ascii="Trebuchet MS" w:hAnsi="Trebuchet MS"/>
          <w:sz w:val="24"/>
          <w:szCs w:val="24"/>
        </w:rPr>
        <w:br w:type="page"/>
      </w:r>
    </w:p>
    <w:p w:rsidR="00EB30B6" w:rsidRPr="0072397D" w:rsidRDefault="00EB30B6" w:rsidP="0044323F">
      <w:pPr>
        <w:pStyle w:val="Titre1"/>
      </w:pPr>
      <w:bookmarkStart w:id="13" w:name="_Toc403929794"/>
      <w:bookmarkStart w:id="14" w:name="_Toc403933503"/>
      <w:bookmarkStart w:id="15" w:name="_Toc421805400"/>
      <w:bookmarkStart w:id="16" w:name="_Toc421806953"/>
      <w:bookmarkStart w:id="17" w:name="_Toc425961620"/>
      <w:bookmarkStart w:id="18" w:name="_Toc426359385"/>
      <w:bookmarkStart w:id="19" w:name="_Toc426359415"/>
      <w:r w:rsidRPr="0072397D">
        <w:t>LISTE DES TABLEAUX</w:t>
      </w:r>
      <w:bookmarkEnd w:id="13"/>
      <w:bookmarkEnd w:id="14"/>
      <w:bookmarkEnd w:id="15"/>
      <w:bookmarkEnd w:id="16"/>
      <w:bookmarkEnd w:id="17"/>
      <w:bookmarkEnd w:id="18"/>
      <w:bookmarkEnd w:id="19"/>
    </w:p>
    <w:p w:rsidR="00D831F6" w:rsidRPr="00DF7388" w:rsidRDefault="00D831F6" w:rsidP="00794AC7">
      <w:pPr>
        <w:jc w:val="both"/>
        <w:rPr>
          <w:rFonts w:ascii="Trebuchet MS" w:hAnsi="Trebuchet MS"/>
          <w:sz w:val="6"/>
          <w:szCs w:val="24"/>
        </w:rPr>
      </w:pPr>
    </w:p>
    <w:p w:rsidR="00DF7388" w:rsidRPr="00DF7388" w:rsidRDefault="00792500" w:rsidP="00DF7388">
      <w:pPr>
        <w:pStyle w:val="Tabledesillustrations"/>
        <w:tabs>
          <w:tab w:val="right" w:leader="dot" w:pos="9062"/>
        </w:tabs>
        <w:jc w:val="both"/>
        <w:rPr>
          <w:rFonts w:ascii="Trebuchet MS" w:eastAsiaTheme="minorEastAsia" w:hAnsi="Trebuchet MS" w:cstheme="minorBidi"/>
          <w:noProof/>
          <w:lang w:eastAsia="fr-FR"/>
        </w:rPr>
      </w:pPr>
      <w:r w:rsidRPr="00DF7388">
        <w:rPr>
          <w:rFonts w:ascii="Trebuchet MS" w:hAnsi="Trebuchet MS"/>
        </w:rPr>
        <w:fldChar w:fldCharType="begin"/>
      </w:r>
      <w:r w:rsidR="00794AC7" w:rsidRPr="00DF7388">
        <w:rPr>
          <w:rFonts w:ascii="Trebuchet MS" w:hAnsi="Trebuchet MS"/>
        </w:rPr>
        <w:instrText xml:space="preserve"> TOC \h \z \c "Tableau" </w:instrText>
      </w:r>
      <w:r w:rsidRPr="00DF7388">
        <w:rPr>
          <w:rFonts w:ascii="Trebuchet MS" w:hAnsi="Trebuchet MS"/>
        </w:rPr>
        <w:fldChar w:fldCharType="separate"/>
      </w:r>
      <w:hyperlink w:anchor="_Toc426359320" w:history="1">
        <w:r w:rsidR="00DF7388" w:rsidRPr="00DF7388">
          <w:rPr>
            <w:rStyle w:val="Lienhypertexte"/>
            <w:rFonts w:ascii="Trebuchet MS" w:hAnsi="Trebuchet MS"/>
            <w:noProof/>
          </w:rPr>
          <w:t>Tableau 1 : Répartition (%) des ménages enquêtés suivant les départements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_Toc426359320 \h </w:instrText>
        </w:r>
        <w:r w:rsidRPr="00DF7388">
          <w:rPr>
            <w:rFonts w:ascii="Trebuchet MS" w:hAnsi="Trebuchet MS"/>
            <w:noProof/>
            <w:webHidden/>
          </w:rPr>
        </w:r>
        <w:r w:rsidRPr="00DF7388">
          <w:rPr>
            <w:rFonts w:ascii="Trebuchet MS" w:hAnsi="Trebuchet MS"/>
            <w:noProof/>
            <w:webHidden/>
          </w:rPr>
          <w:fldChar w:fldCharType="separate"/>
        </w:r>
        <w:r w:rsidR="00DF7388" w:rsidRPr="00DF7388">
          <w:rPr>
            <w:rFonts w:ascii="Trebuchet MS" w:hAnsi="Trebuchet MS"/>
            <w:noProof/>
            <w:webHidden/>
          </w:rPr>
          <w:t>11</w:t>
        </w:r>
        <w:r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1" w:history="1">
        <w:r w:rsidR="00DF7388" w:rsidRPr="00DF7388">
          <w:rPr>
            <w:rStyle w:val="Lienhypertexte"/>
            <w:rFonts w:ascii="Trebuchet MS" w:hAnsi="Trebuchet MS"/>
            <w:noProof/>
          </w:rPr>
          <w:t>Tableau 2 : Répartition (%) des ménages enquêtés suivant les caractéristiques sociodémographiques de leur chef</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2" w:history="1">
        <w:r w:rsidR="00DF7388" w:rsidRPr="00DF7388">
          <w:rPr>
            <w:rStyle w:val="Lienhypertexte"/>
            <w:rFonts w:ascii="Trebuchet MS" w:hAnsi="Trebuchet MS"/>
            <w:noProof/>
          </w:rPr>
          <w:t>Tableau 3 : Répartition (%) des ménages enquêtés suivant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3" w:history="1">
        <w:r w:rsidR="00DF7388" w:rsidRPr="00DF7388">
          <w:rPr>
            <w:rStyle w:val="Lienhypertexte"/>
            <w:rFonts w:ascii="Trebuchet MS" w:hAnsi="Trebuchet MS"/>
            <w:noProof/>
          </w:rPr>
          <w:t>Tableau 4 : Répartition (%) des ménages enquêtés suivant le sexe et l’âge de leur chef</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4" w:history="1">
        <w:r w:rsidR="00DF7388" w:rsidRPr="00DF7388">
          <w:rPr>
            <w:rStyle w:val="Lienhypertexte"/>
            <w:rFonts w:ascii="Trebuchet MS" w:hAnsi="Trebuchet MS"/>
            <w:noProof/>
          </w:rPr>
          <w:t>Tableau 5 : Taille moyenne et composition des ménages suivant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5" w:history="1">
        <w:r w:rsidR="00DF7388" w:rsidRPr="00DF7388">
          <w:rPr>
            <w:rStyle w:val="Lienhypertexte"/>
            <w:rFonts w:ascii="Trebuchet MS" w:hAnsi="Trebuchet MS"/>
            <w:noProof/>
          </w:rPr>
          <w:t>Tableau 6 : Taille moyenne par milieu de résidence et composition des ménages suivant le sexe et le niveau d’instruction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6" w:history="1">
        <w:r w:rsidR="00DF7388" w:rsidRPr="00DF7388">
          <w:rPr>
            <w:rStyle w:val="Lienhypertexte"/>
            <w:rFonts w:ascii="Trebuchet MS" w:hAnsi="Trebuchet MS"/>
            <w:noProof/>
          </w:rPr>
          <w:t>Tableau 7 : Répartition (%) des ménages selon le type de logement utilisé et le statut d’occupation, suivant le milieu de résidence et suivant le sexe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7" w:history="1">
        <w:r w:rsidR="00DF7388" w:rsidRPr="00DF7388">
          <w:rPr>
            <w:rStyle w:val="Lienhypertexte"/>
            <w:rFonts w:ascii="Trebuchet MS" w:hAnsi="Trebuchet MS"/>
            <w:noProof/>
          </w:rPr>
          <w:t>Tableau 8 : Répartition (%) des ménages selon le type de logement utilisé et le statut d’occupation, suivant le milieu de résidence et suivant le sexe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8" w:history="1">
        <w:r w:rsidR="00DF7388" w:rsidRPr="00DF7388">
          <w:rPr>
            <w:rStyle w:val="Lienhypertexte"/>
            <w:rFonts w:ascii="Trebuchet MS" w:hAnsi="Trebuchet MS"/>
            <w:noProof/>
          </w:rPr>
          <w:t>Tableau 9 : Nombre moyen de pièces que comporte le logement et nombre moyen de pièces utilisées pour dormir selon le type de logement,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9" w:history="1">
        <w:r w:rsidR="00DF7388" w:rsidRPr="00DF7388">
          <w:rPr>
            <w:rStyle w:val="Lienhypertexte"/>
            <w:rFonts w:ascii="Trebuchet MS" w:hAnsi="Trebuchet MS"/>
            <w:noProof/>
          </w:rPr>
          <w:t>Tableau 10 : Loyer mensuel moyen payé par les ménages locataires suivant le milieu de résidence et par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0" w:history="1">
        <w:r w:rsidR="00DF7388" w:rsidRPr="00DF7388">
          <w:rPr>
            <w:rStyle w:val="Lienhypertexte"/>
            <w:rFonts w:ascii="Trebuchet MS" w:hAnsi="Trebuchet MS"/>
            <w:noProof/>
          </w:rPr>
          <w:t>Tableau 11 :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1" w:history="1">
        <w:r w:rsidR="00DF7388" w:rsidRPr="00DF7388">
          <w:rPr>
            <w:rStyle w:val="Lienhypertexte"/>
            <w:rFonts w:ascii="Trebuchet MS" w:hAnsi="Trebuchet MS"/>
            <w:noProof/>
          </w:rPr>
          <w:t>Tableau 12 :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2" w:history="1">
        <w:r w:rsidR="00DF7388" w:rsidRPr="00DF7388">
          <w:rPr>
            <w:rStyle w:val="Lienhypertexte"/>
            <w:rFonts w:ascii="Trebuchet MS" w:hAnsi="Trebuchet MS"/>
            <w:noProof/>
          </w:rPr>
          <w:t>Tableau 13 :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3" w:history="1">
        <w:r w:rsidR="00DF7388" w:rsidRPr="00DF7388">
          <w:rPr>
            <w:rStyle w:val="Lienhypertexte"/>
            <w:rFonts w:ascii="Trebuchet MS" w:hAnsi="Trebuchet MS"/>
            <w:noProof/>
          </w:rPr>
          <w:t xml:space="preserve">Tableau 14 : </w:t>
        </w:r>
        <w:r w:rsidR="00DF7388" w:rsidRPr="00DF7388">
          <w:rPr>
            <w:rStyle w:val="Lienhypertexte"/>
            <w:rFonts w:ascii="Trebuchet MS" w:eastAsia="Times New Roman" w:hAnsi="Trebuchet MS"/>
            <w:bCs/>
            <w:noProof/>
            <w:lang w:eastAsia="fr-FR"/>
          </w:rPr>
          <w:t>Revenus mensuels moyens des chefs de ménage et Répartition (%) des chefs de ménages selon le type de revenu perçu d'activité principale suivant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4" w:history="1">
        <w:r w:rsidR="00DF7388" w:rsidRPr="00DF7388">
          <w:rPr>
            <w:rStyle w:val="Lienhypertexte"/>
            <w:rFonts w:ascii="Trebuchet MS" w:eastAsia="Times New Roman" w:hAnsi="Trebuchet MS"/>
            <w:noProof/>
            <w:lang w:eastAsia="fr-FR"/>
          </w:rPr>
          <w:t>Tableau 15 : Pourcentage de chefs de ménage et de conjoint(e)s du chef de ménage selon le station d’épargne et le mode d’épargne utilisé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5" w:history="1">
        <w:r w:rsidR="00DF7388" w:rsidRPr="00DF7388">
          <w:rPr>
            <w:rStyle w:val="Lienhypertexte"/>
            <w:rFonts w:ascii="Trebuchet MS" w:hAnsi="Trebuchet MS"/>
            <w:noProof/>
          </w:rPr>
          <w:t>Tableau 16 : Pourcentage de ménages selon leur statut de connexion au réseau électrique SBEE selon le sexe, le niveau d’instruction du chef de ménage et les caractéristiques du logement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6" w:history="1">
        <w:r w:rsidR="00DF7388" w:rsidRPr="00DF7388">
          <w:rPr>
            <w:rStyle w:val="Lienhypertexte"/>
            <w:rFonts w:ascii="Trebuchet MS" w:hAnsi="Trebuchet MS"/>
            <w:noProof/>
          </w:rPr>
          <w:t>Tableau 17 : Pourcentage de ménages suivant les différentes sources d’énergie utilisées par sexe et niveau d’instruction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7" w:history="1">
        <w:r w:rsidR="00DF7388" w:rsidRPr="00DF7388">
          <w:rPr>
            <w:rStyle w:val="Lienhypertexte"/>
            <w:rFonts w:ascii="Trebuchet MS" w:hAnsi="Trebuchet MS"/>
            <w:noProof/>
          </w:rPr>
          <w:t>Tableau 18 : Pourcentage de ménages suivant les différentes sources d’énergie utilisées par milieu de résidence et par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8" w:history="1">
        <w:r w:rsidR="00DF7388" w:rsidRPr="00DF7388">
          <w:rPr>
            <w:rStyle w:val="Lienhypertexte"/>
            <w:rFonts w:ascii="Trebuchet MS" w:hAnsi="Trebuchet MS"/>
            <w:noProof/>
          </w:rPr>
          <w:t>Tableau 19 : Pourcentage de ménages suivant les différentes sources d’énergie utilisées simultanément avec l’électricité par sexe et niveau d’instruction du chef de ménage et par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9" w:history="1">
        <w:r w:rsidR="00DF7388" w:rsidRPr="00DF7388">
          <w:rPr>
            <w:rStyle w:val="Lienhypertexte"/>
            <w:rFonts w:ascii="Trebuchet MS" w:hAnsi="Trebuchet MS"/>
            <w:noProof/>
          </w:rPr>
          <w:t>Tableau 20 : Pourcentage de ménages suivant les différentes sources d’énergie utilisées simultanément avec l’électricité par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0" w:history="1">
        <w:r w:rsidR="00DF7388" w:rsidRPr="00DF7388">
          <w:rPr>
            <w:rStyle w:val="Lienhypertexte"/>
            <w:rFonts w:ascii="Trebuchet MS" w:hAnsi="Trebuchet MS"/>
            <w:noProof/>
          </w:rPr>
          <w:t>Tableau 21: Pourcentage de ménage suivant les différentes sources alternatives utilisées en cas de coupure d'électricité selon le sexe du chef de ménage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1" w:history="1">
        <w:r w:rsidR="00DF7388" w:rsidRPr="00DF7388">
          <w:rPr>
            <w:rStyle w:val="Lienhypertexte"/>
            <w:rFonts w:ascii="Trebuchet MS" w:hAnsi="Trebuchet MS"/>
            <w:noProof/>
          </w:rPr>
          <w:t xml:space="preserve">Tableau 22: </w:t>
        </w:r>
        <w:r w:rsidR="00DF7388" w:rsidRPr="00DF7388">
          <w:rPr>
            <w:rStyle w:val="Lienhypertexte"/>
            <w:rFonts w:ascii="Trebuchet MS" w:eastAsia="Times New Roman" w:hAnsi="Trebuchet MS"/>
            <w:noProof/>
            <w:lang w:eastAsia="fr-FR"/>
          </w:rPr>
          <w:t>Pourcentage de ménages ayant distribué de l'énergie à d'autres usagers, Nombre moyen d'usagers connectés au compteur du ménage et Pourcentage de ménages  selon la nature de la relation qui liait le ménage à la majorité des usagers au moment du raccordement au compteur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2" w:history="1">
        <w:r w:rsidR="00DF7388" w:rsidRPr="00DF7388">
          <w:rPr>
            <w:rStyle w:val="Lienhypertexte"/>
            <w:rFonts w:ascii="Trebuchet MS" w:hAnsi="Trebuchet MS"/>
            <w:noProof/>
          </w:rPr>
          <w:t xml:space="preserve">Tableau 23: </w:t>
        </w:r>
        <w:r w:rsidR="00DF7388" w:rsidRPr="00DF7388">
          <w:rPr>
            <w:rStyle w:val="Lienhypertexte"/>
            <w:rFonts w:ascii="Trebuchet MS" w:eastAsia="Times New Roman" w:hAnsi="Trebuchet MS"/>
            <w:noProof/>
            <w:lang w:eastAsia="fr-FR"/>
          </w:rPr>
          <w:t>Nombre moyen d'usagers connectés au compteur sous-traité du ménage et Pourcentage de ménages  selon la nature de la relation qui liait la majorité des usagers au ménage au moment du raccordement au compteur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3" w:history="1">
        <w:r w:rsidR="00DF7388" w:rsidRPr="00DF7388">
          <w:rPr>
            <w:rStyle w:val="Lienhypertexte"/>
            <w:rFonts w:ascii="Trebuchet MS" w:eastAsia="Times New Roman" w:hAnsi="Trebuchet MS"/>
            <w:noProof/>
            <w:lang w:eastAsia="fr-FR"/>
          </w:rPr>
          <w:t>Tableau 24: Pourcentage de ménages ayant distribué de l'énergie à d'autres usagers à partir de leur point d'alimentation, Nombre moyen d'usagers connectés au point d'alimentation du ménage et Pourcentage de ménages  selon la nature de la relation qui liait la majorité des usagers au ménage au moment du raccordement au point d’alimentation du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4" w:history="1">
        <w:r w:rsidR="00DF7388" w:rsidRPr="00DF7388">
          <w:rPr>
            <w:rStyle w:val="Lienhypertexte"/>
            <w:rFonts w:ascii="Trebuchet MS" w:eastAsia="Times New Roman" w:hAnsi="Trebuchet MS"/>
            <w:noProof/>
            <w:lang w:eastAsia="fr-FR"/>
          </w:rPr>
          <w:t>Tableau 25: Pourcentage de ménages Pourcentage de ménage selon l'utilisation faite de différentes sources d'énergie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5" w:history="1">
        <w:r w:rsidR="00DF7388" w:rsidRPr="00DF7388">
          <w:rPr>
            <w:rStyle w:val="Lienhypertexte"/>
            <w:rFonts w:ascii="Trebuchet MS" w:eastAsia="Times New Roman" w:hAnsi="Trebuchet MS"/>
            <w:noProof/>
            <w:lang w:eastAsia="fr-FR"/>
          </w:rPr>
          <w:t>Tableau 26: Dépenses moyennes mensuelles et annuelles effectuées par les ménages dans l’utilisation des différentes sources d’énergie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6" w:history="1">
        <w:r w:rsidR="00DF7388" w:rsidRPr="00DF7388">
          <w:rPr>
            <w:rStyle w:val="Lienhypertexte"/>
            <w:rFonts w:ascii="Trebuchet MS" w:eastAsia="Times New Roman" w:hAnsi="Trebuchet MS"/>
            <w:noProof/>
            <w:lang w:eastAsia="fr-FR"/>
          </w:rPr>
          <w:t>Tableau 27: Dépenses moyennes mensuelles et annuelles des ménages dans l’utilisation de ligne directe de la SBEE, de la ligne sous-traitée de la SBEE et du groupe électrogène suivant le sexe et le niveau d’instruction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7" w:history="1">
        <w:r w:rsidR="00DF7388" w:rsidRPr="00DF7388">
          <w:rPr>
            <w:rStyle w:val="Lienhypertexte"/>
            <w:rFonts w:ascii="Trebuchet MS" w:eastAsia="Times New Roman" w:hAnsi="Trebuchet MS"/>
            <w:noProof/>
            <w:lang w:eastAsia="fr-FR"/>
          </w:rPr>
          <w:t>Tableau 28: Dépenses moyennes mensuelles et annuelles des ménages dans l’utilisation de ligne directe de la SBEE, de la ligne sous-traitée de la SBEE et du groupe électrogène suivant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8" w:history="1">
        <w:r w:rsidR="00DF7388" w:rsidRPr="00DF7388">
          <w:rPr>
            <w:rStyle w:val="Lienhypertexte"/>
            <w:rFonts w:ascii="Trebuchet MS" w:eastAsia="Times New Roman" w:hAnsi="Trebuchet MS"/>
            <w:noProof/>
            <w:lang w:eastAsia="fr-FR"/>
          </w:rPr>
          <w:t>Tableau 29: Nombre moyen d’heures par jour que le ménage devait recevoir l’électricité pour couvrir ses besoins journaliers, Pourcentage de ménages selon leur préférence pour la période de la journée à laquelle il souhaiterait avoir l’électricité, suivant le sexe du chef de ménage,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9" w:history="1">
        <w:r w:rsidR="00DF7388" w:rsidRPr="00DF7388">
          <w:rPr>
            <w:rStyle w:val="Lienhypertexte"/>
            <w:rFonts w:ascii="Trebuchet MS" w:eastAsia="Times New Roman" w:hAnsi="Trebuchet MS"/>
            <w:noProof/>
            <w:lang w:eastAsia="fr-FR"/>
          </w:rPr>
          <w:t>Tableau 30: Nombre moyen d’heures par jour que le ménage devait faire fonctionner ses générateurs pour couvrir ses besoins journaliers, Nombre moyen d’heures par jour que le ménage fait fonctionner effectivement ses générateurs  Proportion de ménage selon la couverture des besoins dans l'utilisation du groupe électrogène suivant le sexe du chef de ménage,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0" w:history="1">
        <w:r w:rsidR="00DF7388" w:rsidRPr="00DF7388">
          <w:rPr>
            <w:rStyle w:val="Lienhypertexte"/>
            <w:rFonts w:ascii="Trebuchet MS" w:eastAsia="Times New Roman" w:hAnsi="Trebuchet MS"/>
            <w:noProof/>
            <w:lang w:eastAsia="fr-FR"/>
          </w:rPr>
          <w:t>Tableau 31: Pourcentage de ménages suivant les raisons pour lesquelles  les besoins ne sont pas couverts dans l'utilisation des groupes électrogènes suivant le sexe du chef de ménage,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1" w:history="1">
        <w:r w:rsidR="00DF7388" w:rsidRPr="00DF7388">
          <w:rPr>
            <w:rStyle w:val="Lienhypertexte"/>
            <w:rFonts w:ascii="Trebuchet MS" w:eastAsia="Times New Roman" w:hAnsi="Trebuchet MS"/>
            <w:noProof/>
            <w:lang w:eastAsia="fr-FR"/>
          </w:rPr>
          <w:t>Tableau 32: Proportion de ménages dont la durée de fonctionnent effectif des groupes est égale à la durée souhaité et qui n'arrivent pas à couvrir leurs besoins par les sources alternatives aux groupes, Pourcentage de ménages suivant les raisons pour la non couverture des besoins par des sources alternatives aux groupes électrogènes suivant le sexe du chef de ménage,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2" w:history="1">
        <w:r w:rsidR="00DF7388" w:rsidRPr="00DF7388">
          <w:rPr>
            <w:rStyle w:val="Lienhypertexte"/>
            <w:rFonts w:ascii="Trebuchet MS" w:hAnsi="Trebuchet MS"/>
            <w:noProof/>
          </w:rPr>
          <w:t>Tableau 33 : Synthèse d’indicateurs sur le niveau de consommation de l’électricité de la SBEE par les ménages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3" w:history="1">
        <w:r w:rsidR="00DF7388" w:rsidRPr="00DF7388">
          <w:rPr>
            <w:rStyle w:val="Lienhypertexte"/>
            <w:rFonts w:ascii="Trebuchet MS" w:eastAsia="Times New Roman" w:hAnsi="Trebuchet MS" w:cs="Calibri"/>
            <w:noProof/>
            <w:lang w:eastAsia="fr-FR"/>
          </w:rPr>
          <w:t>Tableau 34 : Modes de paiement des factures par le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4" w:history="1">
        <w:r w:rsidR="00DF7388" w:rsidRPr="00DF7388">
          <w:rPr>
            <w:rStyle w:val="Lienhypertexte"/>
            <w:rFonts w:ascii="Trebuchet MS" w:eastAsia="Times New Roman" w:hAnsi="Trebuchet MS" w:cs="Calibri"/>
            <w:noProof/>
            <w:lang w:eastAsia="fr-FR"/>
          </w:rPr>
          <w:t>Tableau 35 : Modes de paiement à un tiers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5" w:history="1">
        <w:r w:rsidR="00DF7388" w:rsidRPr="00DF7388">
          <w:rPr>
            <w:rStyle w:val="Lienhypertexte"/>
            <w:rFonts w:ascii="Trebuchet MS" w:hAnsi="Trebuchet MS"/>
            <w:noProof/>
          </w:rPr>
          <w:t>Tableau 36 : Coûts de raccordement actualisés à l’année 2015</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6" w:history="1">
        <w:r w:rsidR="00DF7388" w:rsidRPr="00DF7388">
          <w:rPr>
            <w:rStyle w:val="Lienhypertexte"/>
            <w:rFonts w:ascii="Trebuchet MS" w:hAnsi="Trebuchet MS"/>
            <w:noProof/>
          </w:rPr>
          <w:t>Tableau 37 : Appréciation des ménages sur l’exactitude de la facturation</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7" w:history="1">
        <w:r w:rsidR="00DF7388" w:rsidRPr="00DF7388">
          <w:rPr>
            <w:rStyle w:val="Lienhypertexte"/>
            <w:rFonts w:ascii="Trebuchet MS" w:hAnsi="Trebuchet MS"/>
            <w:noProof/>
          </w:rPr>
          <w:t>Tableau 38 : Synthèse d’indicateurs sur la facturation et le raccordement au réseau électrique de la SBEE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8" w:history="1">
        <w:r w:rsidR="00DF7388" w:rsidRPr="00DF7388">
          <w:rPr>
            <w:rStyle w:val="Lienhypertexte"/>
            <w:rFonts w:ascii="Trebuchet MS" w:hAnsi="Trebuchet MS"/>
            <w:noProof/>
          </w:rPr>
          <w:t>Tableau 39 : Quelques indicateurs sur les coupures d’électricité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9" w:history="1">
        <w:r w:rsidR="00DF7388" w:rsidRPr="00DF7388">
          <w:rPr>
            <w:rStyle w:val="Lienhypertexte"/>
            <w:rFonts w:ascii="Trebuchet MS" w:hAnsi="Trebuchet MS"/>
            <w:noProof/>
          </w:rPr>
          <w:t>Tableau 40 : Périodes durant lesquelles ont lieu les coupures d’électricité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0" w:history="1">
        <w:r w:rsidR="00DF7388" w:rsidRPr="00DF7388">
          <w:rPr>
            <w:rStyle w:val="Lienhypertexte"/>
            <w:rFonts w:ascii="Trebuchet MS" w:eastAsia="Times New Roman" w:hAnsi="Trebuchet MS" w:cs="Calibri"/>
            <w:noProof/>
            <w:lang w:eastAsia="fr-FR"/>
          </w:rPr>
          <w:t>Tableau 41 : Avertissement des ménages par la SBEE/Fournisseurs sur les coupures d’électricité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1" w:history="1">
        <w:r w:rsidR="00DF7388" w:rsidRPr="00DF7388">
          <w:rPr>
            <w:rStyle w:val="Lienhypertexte"/>
            <w:rFonts w:ascii="Trebuchet MS" w:hAnsi="Trebuchet MS"/>
            <w:noProof/>
          </w:rPr>
          <w:t>Tableau 42 : Fréquence des baisses de tension et leur période d’apparition</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2" w:history="1">
        <w:r w:rsidR="00DF7388" w:rsidRPr="00DF7388">
          <w:rPr>
            <w:rStyle w:val="Lienhypertexte"/>
            <w:rFonts w:ascii="Trebuchet MS" w:hAnsi="Trebuchet MS"/>
            <w:noProof/>
          </w:rPr>
          <w:t>Tableau 43 : Détails sur l’appréciation des ménages quant à la qualité des services de la SBEE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3" w:history="1">
        <w:r w:rsidR="00DF7388" w:rsidRPr="00DF7388">
          <w:rPr>
            <w:rStyle w:val="Lienhypertexte"/>
            <w:rFonts w:ascii="Trebuchet MS" w:hAnsi="Trebuchet MS"/>
            <w:noProof/>
          </w:rPr>
          <w:t>Tableau 44 : Répartition des ménages selon qu’il y ait l’électricité dans leur zone ou pas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4" w:history="1">
        <w:r w:rsidR="00DF7388" w:rsidRPr="00DF7388">
          <w:rPr>
            <w:rStyle w:val="Lienhypertexte"/>
            <w:rFonts w:ascii="Trebuchet MS" w:eastAsia="Times New Roman" w:hAnsi="Trebuchet MS" w:cs="Calibri"/>
            <w:noProof/>
            <w:lang w:eastAsia="fr-FR"/>
          </w:rPr>
          <w:t>Tableau 45 : Autres raisons de non raccordement du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5" w:history="1">
        <w:r w:rsidR="00DF7388" w:rsidRPr="00DF7388">
          <w:rPr>
            <w:rStyle w:val="Lienhypertexte"/>
            <w:rFonts w:ascii="Trebuchet MS" w:hAnsi="Trebuchet MS"/>
            <w:noProof/>
          </w:rPr>
          <w:t>Tableau 46 : Autres conditions posées par les ménages situés dans des zones où il n’y a pas l’électricité pour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6" w:history="1">
        <w:r w:rsidR="00DF7388" w:rsidRPr="00DF7388">
          <w:rPr>
            <w:rStyle w:val="Lienhypertexte"/>
            <w:rFonts w:ascii="Trebuchet MS" w:hAnsi="Trebuchet MS"/>
            <w:noProof/>
          </w:rPr>
          <w:t>Tableau 47 : Distance avec le poteau électrique le plus proche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7" w:history="1">
        <w:r w:rsidR="00DF7388" w:rsidRPr="00DF7388">
          <w:rPr>
            <w:rStyle w:val="Lienhypertexte"/>
            <w:rFonts w:ascii="Trebuchet MS" w:eastAsia="Times New Roman" w:hAnsi="Trebuchet MS" w:cs="Calibri"/>
            <w:noProof/>
            <w:lang w:eastAsia="fr-FR"/>
          </w:rPr>
          <w:t>Tableau 48 : Disposition des ménages à se raccorder au réseau si celui-ci s'étendait à leur zone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8" w:history="1">
        <w:r w:rsidR="00DF7388" w:rsidRPr="00DF7388">
          <w:rPr>
            <w:rStyle w:val="Lienhypertexte"/>
            <w:rFonts w:ascii="Trebuchet MS" w:eastAsia="Times New Roman" w:hAnsi="Trebuchet MS" w:cs="Calibri"/>
            <w:noProof/>
            <w:lang w:eastAsia="fr-FR"/>
          </w:rPr>
          <w:t>Tableau 49 : Disposition des ménages à payer au moins 100000 F pour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9" w:history="1">
        <w:r w:rsidR="00DF7388" w:rsidRPr="00DF7388">
          <w:rPr>
            <w:rStyle w:val="Lienhypertexte"/>
            <w:rFonts w:ascii="Trebuchet MS" w:eastAsia="Times New Roman" w:hAnsi="Trebuchet MS" w:cs="Calibri"/>
            <w:noProof/>
            <w:lang w:eastAsia="fr-FR"/>
          </w:rPr>
          <w:t>Tableau 50 : Principale source de financement du ménage pour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0" w:history="1">
        <w:r w:rsidR="00DF7388" w:rsidRPr="00DF7388">
          <w:rPr>
            <w:rStyle w:val="Lienhypertexte"/>
            <w:rFonts w:ascii="Trebuchet MS" w:hAnsi="Trebuchet MS"/>
            <w:noProof/>
          </w:rPr>
          <w:t>Tableau 51 : Répartition des ménages connectés selon qu’ils connaissent ou pas le prix du KWh</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1" w:history="1">
        <w:r w:rsidR="00DF7388" w:rsidRPr="00DF7388">
          <w:rPr>
            <w:rStyle w:val="Lienhypertexte"/>
            <w:rFonts w:ascii="Trebuchet MS" w:eastAsia="Times New Roman" w:hAnsi="Trebuchet MS" w:cs="Calibri"/>
            <w:noProof/>
            <w:lang w:eastAsia="fr-FR"/>
          </w:rPr>
          <w:t>Tableau 52 : Pourcentage supplémentaire à payer pour passer de l’énergie hydroélectrique à l'énergie solaire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2" w:history="1">
        <w:r w:rsidR="00DF7388" w:rsidRPr="00DF7388">
          <w:rPr>
            <w:rStyle w:val="Lienhypertexte"/>
            <w:rFonts w:ascii="Trebuchet MS" w:hAnsi="Trebuchet MS"/>
            <w:noProof/>
          </w:rPr>
          <w:t>Tableau 53 :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3" w:history="1">
        <w:r w:rsidR="00DF7388" w:rsidRPr="00DF7388">
          <w:rPr>
            <w:rStyle w:val="Lienhypertexte"/>
            <w:rFonts w:ascii="Trebuchet MS" w:eastAsia="Times New Roman" w:hAnsi="Trebuchet MS"/>
            <w:bCs/>
            <w:noProof/>
            <w:lang w:eastAsia="fr-FR"/>
          </w:rPr>
          <w:t>Tableau 54 : Revenus moyens mensuel des chefs de ménage et répartition (%) des chefs de ménages selon le type de revenu d’activité principalesuivant le sexe, le groupe d’âge, le niveau d’instruction et la branche d’activité du chef de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4" w:history="1">
        <w:r w:rsidR="00DF7388" w:rsidRPr="00DF7388">
          <w:rPr>
            <w:rStyle w:val="Lienhypertexte"/>
            <w:rFonts w:ascii="Trebuchet MS" w:hAnsi="Trebuchet MS"/>
            <w:noProof/>
          </w:rPr>
          <w:t>Tableau 55 : Indicateurs sur les délais de raccordement et la consommation d’électricité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5" w:history="1">
        <w:r w:rsidR="00DF7388" w:rsidRPr="00DF7388">
          <w:rPr>
            <w:rStyle w:val="Lienhypertexte"/>
            <w:rFonts w:ascii="Trebuchet MS" w:hAnsi="Trebuchet MS"/>
            <w:noProof/>
          </w:rPr>
          <w:t>Tableau 56 : Dernier mois de facture reçu dans le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6" w:history="1">
        <w:r w:rsidR="00DF7388" w:rsidRPr="00DF7388">
          <w:rPr>
            <w:rStyle w:val="Lienhypertexte"/>
            <w:rFonts w:ascii="Trebuchet MS" w:hAnsi="Trebuchet MS"/>
            <w:noProof/>
          </w:rPr>
          <w:t xml:space="preserve">Tableau 57 : </w:t>
        </w:r>
        <w:r w:rsidR="00DF7388" w:rsidRPr="00DF7388">
          <w:rPr>
            <w:rStyle w:val="Lienhypertexte"/>
            <w:rFonts w:ascii="Trebuchet MS" w:eastAsia="Times New Roman" w:hAnsi="Trebuchet MS" w:cs="Calibri"/>
            <w:noProof/>
            <w:lang w:eastAsia="fr-FR"/>
          </w:rPr>
          <w:t>Autres modes de paiement des factures par le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7" w:history="1">
        <w:r w:rsidR="00DF7388" w:rsidRPr="00DF7388">
          <w:rPr>
            <w:rStyle w:val="Lienhypertexte"/>
            <w:rFonts w:ascii="Trebuchet MS" w:hAnsi="Trebuchet MS"/>
            <w:noProof/>
          </w:rPr>
          <w:t xml:space="preserve">Tableau 58 : </w:t>
        </w:r>
        <w:r w:rsidR="00DF7388" w:rsidRPr="00DF7388">
          <w:rPr>
            <w:rStyle w:val="Lienhypertexte"/>
            <w:rFonts w:ascii="Trebuchet MS" w:eastAsia="Times New Roman" w:hAnsi="Trebuchet MS" w:cs="Calibri"/>
            <w:noProof/>
            <w:lang w:eastAsia="fr-FR"/>
          </w:rPr>
          <w:t>Premières causes de coupure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8" w:history="1">
        <w:r w:rsidR="00DF7388" w:rsidRPr="00DF7388">
          <w:rPr>
            <w:rStyle w:val="Lienhypertexte"/>
            <w:rFonts w:ascii="Trebuchet MS" w:hAnsi="Trebuchet MS"/>
            <w:noProof/>
          </w:rPr>
          <w:t xml:space="preserve">Tableau 59 : </w:t>
        </w:r>
        <w:r w:rsidR="00DF7388" w:rsidRPr="00DF7388">
          <w:rPr>
            <w:rStyle w:val="Lienhypertexte"/>
            <w:rFonts w:ascii="Trebuchet MS" w:eastAsia="Times New Roman" w:hAnsi="Trebuchet MS" w:cs="Calibri"/>
            <w:noProof/>
            <w:lang w:eastAsia="fr-FR"/>
          </w:rPr>
          <w:t>Deuxièmes causes de coupure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9" w:history="1">
        <w:r w:rsidR="00DF7388" w:rsidRPr="00DF7388">
          <w:rPr>
            <w:rStyle w:val="Lienhypertexte"/>
            <w:rFonts w:ascii="Trebuchet MS" w:hAnsi="Trebuchet MS"/>
            <w:noProof/>
          </w:rPr>
          <w:t xml:space="preserve">Tableau 60 : </w:t>
        </w:r>
        <w:r w:rsidR="00DF7388" w:rsidRPr="00DF7388">
          <w:rPr>
            <w:rStyle w:val="Lienhypertexte"/>
            <w:rFonts w:ascii="Trebuchet MS" w:eastAsia="Times New Roman" w:hAnsi="Trebuchet MS" w:cs="Calibri"/>
            <w:noProof/>
            <w:lang w:eastAsia="fr-FR"/>
          </w:rPr>
          <w:t>Troisièmes causes de coupures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0" w:history="1">
        <w:r w:rsidR="00DF7388" w:rsidRPr="00DF7388">
          <w:rPr>
            <w:rStyle w:val="Lienhypertexte"/>
            <w:rFonts w:ascii="Trebuchet MS" w:hAnsi="Trebuchet MS"/>
            <w:noProof/>
          </w:rPr>
          <w:t xml:space="preserve">Tableau 61 : </w:t>
        </w:r>
        <w:r w:rsidR="00DF7388" w:rsidRPr="00DF7388">
          <w:rPr>
            <w:rStyle w:val="Lienhypertexte"/>
            <w:rFonts w:ascii="Trebuchet MS" w:eastAsia="Times New Roman" w:hAnsi="Trebuchet MS" w:cs="Calibri"/>
            <w:noProof/>
            <w:lang w:eastAsia="fr-FR"/>
          </w:rPr>
          <w:t>Mois pendant lequel les coupures affectent le plus le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1" w:history="1">
        <w:r w:rsidR="00DF7388" w:rsidRPr="00DF7388">
          <w:rPr>
            <w:rStyle w:val="Lienhypertexte"/>
            <w:rFonts w:ascii="Trebuchet MS" w:hAnsi="Trebuchet MS"/>
            <w:noProof/>
          </w:rPr>
          <w:t>Tableau 62 : Conditions pour lesquelles les ménages seraient prêts à payer davantage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2" w:history="1">
        <w:r w:rsidR="00DF7388" w:rsidRPr="00DF7388">
          <w:rPr>
            <w:rStyle w:val="Lienhypertexte"/>
            <w:rFonts w:ascii="Trebuchet MS" w:eastAsia="Times New Roman" w:hAnsi="Trebuchet MS" w:cs="Calibri"/>
            <w:noProof/>
            <w:lang w:eastAsia="fr-FR"/>
          </w:rPr>
          <w:t>Tableau 63 : Connaissance ou non de la distance qui sépare le ménage du poteau le plus proche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98</w:t>
        </w:r>
        <w:r w:rsidR="00792500" w:rsidRPr="00DF7388">
          <w:rPr>
            <w:rFonts w:ascii="Trebuchet MS" w:hAnsi="Trebuchet MS"/>
            <w:noProof/>
            <w:webHidden/>
          </w:rPr>
          <w:fldChar w:fldCharType="end"/>
        </w:r>
      </w:hyperlink>
    </w:p>
    <w:p w:rsidR="00794AC7" w:rsidRDefault="00792500" w:rsidP="00DF7388">
      <w:pPr>
        <w:jc w:val="both"/>
        <w:rPr>
          <w:rFonts w:ascii="Trebuchet MS" w:hAnsi="Trebuchet MS"/>
          <w:sz w:val="24"/>
          <w:szCs w:val="24"/>
        </w:rPr>
      </w:pPr>
      <w:r w:rsidRPr="00DF7388">
        <w:rPr>
          <w:rFonts w:ascii="Trebuchet MS" w:hAnsi="Trebuchet MS"/>
        </w:rPr>
        <w:fldChar w:fldCharType="end"/>
      </w:r>
    </w:p>
    <w:p w:rsidR="00EC581C" w:rsidRPr="0072397D" w:rsidRDefault="00EC581C">
      <w:pPr>
        <w:spacing w:after="0" w:line="240" w:lineRule="auto"/>
        <w:rPr>
          <w:rFonts w:ascii="Trebuchet MS" w:hAnsi="Trebuchet MS"/>
          <w:sz w:val="24"/>
          <w:szCs w:val="24"/>
        </w:rPr>
      </w:pPr>
      <w:r w:rsidRPr="0072397D">
        <w:rPr>
          <w:rFonts w:ascii="Trebuchet MS" w:hAnsi="Trebuchet MS"/>
          <w:sz w:val="24"/>
          <w:szCs w:val="24"/>
        </w:rPr>
        <w:br w:type="page"/>
      </w:r>
    </w:p>
    <w:p w:rsidR="00EB30B6" w:rsidRPr="0072397D" w:rsidRDefault="00EB30B6" w:rsidP="0044323F">
      <w:pPr>
        <w:pStyle w:val="Titre1"/>
      </w:pPr>
      <w:bookmarkStart w:id="20" w:name="_Toc403929795"/>
      <w:bookmarkStart w:id="21" w:name="_Toc403933504"/>
      <w:bookmarkStart w:id="22" w:name="_Toc421805401"/>
      <w:bookmarkStart w:id="23" w:name="_Toc421806954"/>
      <w:bookmarkStart w:id="24" w:name="_Toc425961621"/>
      <w:bookmarkStart w:id="25" w:name="_Toc426359386"/>
      <w:bookmarkStart w:id="26" w:name="_Toc426359416"/>
      <w:r w:rsidRPr="0072397D">
        <w:t>LISTE DES GRAPHIQUES</w:t>
      </w:r>
      <w:bookmarkEnd w:id="20"/>
      <w:bookmarkEnd w:id="21"/>
      <w:bookmarkEnd w:id="22"/>
      <w:bookmarkEnd w:id="23"/>
      <w:bookmarkEnd w:id="24"/>
      <w:bookmarkEnd w:id="25"/>
      <w:bookmarkEnd w:id="26"/>
    </w:p>
    <w:p w:rsidR="002631EA" w:rsidRPr="00DF7388" w:rsidRDefault="002631EA">
      <w:pPr>
        <w:rPr>
          <w:rFonts w:ascii="Trebuchet MS" w:hAnsi="Trebuchet MS"/>
          <w:sz w:val="6"/>
          <w:szCs w:val="24"/>
        </w:rPr>
      </w:pPr>
    </w:p>
    <w:p w:rsidR="00DF7388" w:rsidRPr="00DF7388" w:rsidRDefault="00792500" w:rsidP="00DF7388">
      <w:pPr>
        <w:pStyle w:val="Tabledesillustrations"/>
        <w:tabs>
          <w:tab w:val="right" w:leader="dot" w:pos="9062"/>
        </w:tabs>
        <w:jc w:val="both"/>
        <w:rPr>
          <w:rFonts w:ascii="Trebuchet MS" w:eastAsiaTheme="minorEastAsia" w:hAnsi="Trebuchet MS" w:cstheme="minorBidi"/>
          <w:noProof/>
          <w:lang w:eastAsia="fr-FR"/>
        </w:rPr>
      </w:pPr>
      <w:r w:rsidRPr="00DF7388">
        <w:rPr>
          <w:rFonts w:ascii="Trebuchet MS" w:hAnsi="Trebuchet MS"/>
        </w:rPr>
        <w:fldChar w:fldCharType="begin"/>
      </w:r>
      <w:r w:rsidR="00C31BB0" w:rsidRPr="00DF7388">
        <w:rPr>
          <w:rFonts w:ascii="Trebuchet MS" w:hAnsi="Trebuchet MS"/>
        </w:rPr>
        <w:instrText xml:space="preserve"> TOC \h \z \c "Graphique" </w:instrText>
      </w:r>
      <w:r w:rsidRPr="00DF7388">
        <w:rPr>
          <w:rFonts w:ascii="Trebuchet MS" w:hAnsi="Trebuchet MS"/>
        </w:rPr>
        <w:fldChar w:fldCharType="separate"/>
      </w:r>
      <w:hyperlink w:anchor="_Toc426359255" w:history="1">
        <w:r w:rsidR="00DF7388" w:rsidRPr="00DF7388">
          <w:rPr>
            <w:rStyle w:val="Lienhypertexte"/>
            <w:rFonts w:ascii="Trebuchet MS" w:hAnsi="Trebuchet MS"/>
            <w:noProof/>
          </w:rPr>
          <w:t>Graphique 1: Répartition des ménages selon le plus haut niveau d'étude de leur chef</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_Toc426359255 \h </w:instrText>
        </w:r>
        <w:r w:rsidRPr="00DF7388">
          <w:rPr>
            <w:rFonts w:ascii="Trebuchet MS" w:hAnsi="Trebuchet MS"/>
            <w:noProof/>
            <w:webHidden/>
          </w:rPr>
        </w:r>
        <w:r w:rsidRPr="00DF7388">
          <w:rPr>
            <w:rFonts w:ascii="Trebuchet MS" w:hAnsi="Trebuchet MS"/>
            <w:noProof/>
            <w:webHidden/>
          </w:rPr>
          <w:fldChar w:fldCharType="separate"/>
        </w:r>
        <w:r w:rsidR="00DF7388" w:rsidRPr="00DF7388">
          <w:rPr>
            <w:rFonts w:ascii="Trebuchet MS" w:hAnsi="Trebuchet MS"/>
            <w:noProof/>
            <w:webHidden/>
          </w:rPr>
          <w:t>13</w:t>
        </w:r>
        <w:r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6" w:history="1">
        <w:r w:rsidR="00DF7388" w:rsidRPr="00DF7388">
          <w:rPr>
            <w:rStyle w:val="Lienhypertexte"/>
            <w:rFonts w:ascii="Trebuchet MS" w:hAnsi="Trebuchet MS"/>
            <w:noProof/>
          </w:rPr>
          <w:t>Graphique 2: Répartition des ménages selon le type de logement occupé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18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7" w:history="1">
        <w:r w:rsidR="00DF7388" w:rsidRPr="00DF7388">
          <w:rPr>
            <w:rStyle w:val="Lienhypertexte"/>
            <w:rFonts w:ascii="Trebuchet MS" w:hAnsi="Trebuchet MS"/>
            <w:noProof/>
          </w:rPr>
          <w:t>Graphique 3: Loyer mensuel moyen payé par les ménages locataires selon le nombre de pièces que comporte le logement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8" w:history="1">
        <w:r w:rsidR="00DF7388" w:rsidRPr="00DF7388">
          <w:rPr>
            <w:rStyle w:val="Lienhypertexte"/>
            <w:rFonts w:ascii="Trebuchet MS" w:hAnsi="Trebuchet MS"/>
            <w:noProof/>
          </w:rPr>
          <w:t>Graphique 4: Répartition (%) des ménages selon la situation d’activité de leur chef par département et par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28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9" w:history="1">
        <w:r w:rsidR="00DF7388" w:rsidRPr="00DF7388">
          <w:rPr>
            <w:rStyle w:val="Lienhypertexte"/>
            <w:rFonts w:ascii="Trebuchet MS" w:hAnsi="Trebuchet MS"/>
            <w:noProof/>
          </w:rPr>
          <w:t>Graphique 5: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0" w:history="1">
        <w:r w:rsidR="00DF7388" w:rsidRPr="00DF7388">
          <w:rPr>
            <w:rStyle w:val="Lienhypertexte"/>
            <w:rFonts w:ascii="Trebuchet MS" w:hAnsi="Trebuchet MS"/>
            <w:noProof/>
          </w:rPr>
          <w:t>Graphique 6: Pourcentage de ménages connectés au réseau électrique de la SBEE par milieu de résidence et par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36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1" w:history="1">
        <w:r w:rsidR="00DF7388" w:rsidRPr="00DF7388">
          <w:rPr>
            <w:rStyle w:val="Lienhypertexte"/>
            <w:rFonts w:ascii="Trebuchet MS" w:hAnsi="Trebuchet MS"/>
            <w:noProof/>
          </w:rPr>
          <w:t>Graphique 7 : Répartition (%) des ménages selon leur statut dans l’utilisation d’une source simultanée avec l’électricité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41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2" w:history="1">
        <w:r w:rsidR="00DF7388" w:rsidRPr="00DF7388">
          <w:rPr>
            <w:rStyle w:val="Lienhypertexte"/>
            <w:rFonts w:ascii="Trebuchet MS" w:hAnsi="Trebuchet MS"/>
            <w:noProof/>
          </w:rPr>
          <w:t>Graphique 8: Répartition (%) des ménages selon la situation d’activité de leur chef selon le département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50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3" w:history="1">
        <w:r w:rsidR="00DF7388" w:rsidRPr="00DF7388">
          <w:rPr>
            <w:rStyle w:val="Lienhypertexte"/>
            <w:rFonts w:ascii="Trebuchet MS" w:hAnsi="Trebuchet MS"/>
            <w:noProof/>
          </w:rPr>
          <w:t>Graphique 9 : Délais de raccordement et consommation d’électricité en fonction du revenu</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63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4" w:history="1">
        <w:r w:rsidR="00DF7388" w:rsidRPr="00DF7388">
          <w:rPr>
            <w:rStyle w:val="Lienhypertexte"/>
            <w:rFonts w:ascii="Trebuchet MS" w:hAnsi="Trebuchet MS"/>
            <w:noProof/>
          </w:rPr>
          <w:t>Graphique 10 : Canaux d’information des ménages sur les coupures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70</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5" w:history="1">
        <w:r w:rsidR="00DF7388" w:rsidRPr="00DF7388">
          <w:rPr>
            <w:rStyle w:val="Lienhypertexte"/>
            <w:rFonts w:ascii="Trebuchet MS" w:hAnsi="Trebuchet MS"/>
            <w:noProof/>
          </w:rPr>
          <w:t>Graphique 11 : Impact des coupures sur les ménages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6" w:history="1">
        <w:r w:rsidR="00DF7388" w:rsidRPr="00DF7388">
          <w:rPr>
            <w:rStyle w:val="Lienhypertexte"/>
            <w:rFonts w:ascii="Trebuchet MS" w:eastAsia="Times New Roman" w:hAnsi="Trebuchet MS" w:cs="Calibri"/>
            <w:noProof/>
            <w:lang w:eastAsia="fr-FR"/>
          </w:rPr>
          <w:t>Graphique 12 : Existence ou non de baisse de tension selon le type de connexion du ménage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7" w:history="1">
        <w:r w:rsidR="00DF7388" w:rsidRPr="00DF7388">
          <w:rPr>
            <w:rStyle w:val="Lienhypertexte"/>
            <w:rFonts w:ascii="Trebuchet MS" w:eastAsia="Times New Roman" w:hAnsi="Trebuchet MS" w:cs="Calibri"/>
            <w:noProof/>
            <w:lang w:eastAsia="fr-FR"/>
          </w:rPr>
          <w:t>Graphique 13 : Existence ou non de baisse de tension par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8" w:history="1">
        <w:r w:rsidR="00DF7388" w:rsidRPr="00DF7388">
          <w:rPr>
            <w:rStyle w:val="Lienhypertexte"/>
            <w:rFonts w:ascii="Trebuchet MS" w:hAnsi="Trebuchet MS"/>
            <w:noProof/>
          </w:rPr>
          <w:t>Graphique 14 : Degré de satisfaction des ménages sur la qualité des services de la SBEE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9" w:history="1">
        <w:r w:rsidR="00DF7388" w:rsidRPr="00DF7388">
          <w:rPr>
            <w:rStyle w:val="Lienhypertexte"/>
            <w:rFonts w:ascii="Trebuchet MS" w:hAnsi="Trebuchet MS"/>
            <w:noProof/>
          </w:rPr>
          <w:t>Graphique 15 : Disposition des ménages à se connecter au réseau électrique selon le sexe, le milieu de résidence et le département</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0" w:history="1">
        <w:r w:rsidR="00DF7388" w:rsidRPr="00DF7388">
          <w:rPr>
            <w:rStyle w:val="Lienhypertexte"/>
            <w:rFonts w:ascii="Trebuchet MS" w:hAnsi="Trebuchet MS"/>
            <w:noProof/>
          </w:rPr>
          <w:t>Graphique 16 : Disposition des ménages non connectés, situés dans des zones où il y a l’électricité, à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1" w:history="1">
        <w:r w:rsidR="00DF7388" w:rsidRPr="00DF7388">
          <w:rPr>
            <w:rStyle w:val="Lienhypertexte"/>
            <w:rFonts w:ascii="Trebuchet MS" w:hAnsi="Trebuchet MS"/>
            <w:noProof/>
          </w:rPr>
          <w:t>Graphique 17 : Raisons justifiant le refus des ménages situés dans des zones où il y a l’électricité de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2" w:history="1">
        <w:r w:rsidR="00DF7388" w:rsidRPr="00DF7388">
          <w:rPr>
            <w:rStyle w:val="Lienhypertexte"/>
            <w:rFonts w:ascii="Trebuchet MS" w:hAnsi="Trebuchet MS"/>
            <w:noProof/>
          </w:rPr>
          <w:t>Graphique 18 : Si oui, conditions nécessaires pour que les ménages se raccordent au réseau électrique de la SBEE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78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3" w:history="1">
        <w:r w:rsidR="00DF7388" w:rsidRPr="00DF7388">
          <w:rPr>
            <w:rStyle w:val="Lienhypertexte"/>
            <w:rFonts w:ascii="Trebuchet MS" w:hAnsi="Trebuchet MS"/>
            <w:noProof/>
          </w:rPr>
          <w:t>Graphique 19 : Raisons justifiant le non raccordement des ménages dans des zones non électrifiées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_Toc426359273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81</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4" w:history="1">
        <w:r w:rsidR="00DF7388" w:rsidRPr="00DF7388">
          <w:rPr>
            <w:rStyle w:val="Lienhypertexte"/>
            <w:rFonts w:ascii="Trebuchet MS" w:hAnsi="Trebuchet MS"/>
            <w:noProof/>
          </w:rPr>
          <w:t>Graphique 20 : Raison de non-paiement d’au moins 100000 FCFA pour se raccorder</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_Toc426359274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82</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5" w:history="1">
        <w:r w:rsidR="00DF7388" w:rsidRPr="00DF7388">
          <w:rPr>
            <w:rStyle w:val="Lienhypertexte"/>
            <w:rFonts w:ascii="Trebuchet MS" w:hAnsi="Trebuchet MS"/>
            <w:noProof/>
          </w:rPr>
          <w:t>Graphique 21 : Volonté à payer des ménages non connectés et installés dans des zones non électrifiées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_Toc426359275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83</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6" w:history="1">
        <w:r w:rsidR="00DF7388" w:rsidRPr="00DF7388">
          <w:rPr>
            <w:rStyle w:val="Lienhypertexte"/>
            <w:rFonts w:ascii="Trebuchet MS" w:hAnsi="Trebuchet MS"/>
            <w:noProof/>
          </w:rPr>
          <w:t>Graphique 22 : Volonté à payer de l’ensemble des ménages non connectés pour leur consommation mensuelle d’électricité</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_Toc426359276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84</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7" w:history="1">
        <w:r w:rsidR="00DF7388" w:rsidRPr="00DF7388">
          <w:rPr>
            <w:rStyle w:val="Lienhypertexte"/>
            <w:rFonts w:ascii="Trebuchet MS" w:hAnsi="Trebuchet MS"/>
            <w:noProof/>
          </w:rPr>
          <w:t>Graphique 23 : Connaissance du prix du KWh selon l’âge du CM</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_Toc426359277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85</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8" w:history="1">
        <w:r w:rsidR="00DF7388" w:rsidRPr="00DF7388">
          <w:rPr>
            <w:rStyle w:val="Lienhypertexte"/>
            <w:rFonts w:ascii="Trebuchet MS" w:hAnsi="Trebuchet MS"/>
            <w:noProof/>
          </w:rPr>
          <w:t>Graphique 24 : Connaissance du prix du KWh selon le niveau d’instruction du CM</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_Toc426359278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86</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9" w:history="1">
        <w:r w:rsidR="00DF7388" w:rsidRPr="00DF7388">
          <w:rPr>
            <w:rStyle w:val="Lienhypertexte"/>
            <w:rFonts w:ascii="Trebuchet MS" w:hAnsi="Trebuchet MS"/>
            <w:noProof/>
          </w:rPr>
          <w:t>Graphique 25 : Connaissance du prix du KWh selon le sexe du CM et le milieu de résidence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_Toc426359279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87</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0" w:history="1">
        <w:r w:rsidR="00DF7388" w:rsidRPr="00DF7388">
          <w:rPr>
            <w:rStyle w:val="Lienhypertexte"/>
            <w:rFonts w:ascii="Trebuchet MS" w:hAnsi="Trebuchet MS"/>
            <w:noProof/>
            <w:lang w:eastAsia="fr-FR"/>
          </w:rPr>
          <w:t>Graphique 26 : Prix du KWh que paient ou que souhaiteraient payer les ménages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_Toc426359280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88</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1" w:history="1">
        <w:r w:rsidR="00DF7388" w:rsidRPr="00DF7388">
          <w:rPr>
            <w:rStyle w:val="Lienhypertexte"/>
            <w:rFonts w:ascii="Trebuchet MS" w:hAnsi="Trebuchet MS"/>
            <w:noProof/>
            <w:lang w:eastAsia="fr-FR"/>
          </w:rPr>
          <w:t>Graphique 27 : Prix du KWh que sont disposés à payer les ménages en fonction du nombre de coupures par semaine</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_Toc426359281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89</w:t>
        </w:r>
        <w:r w:rsidR="00792500" w:rsidRPr="00DF7388">
          <w:rPr>
            <w:rFonts w:ascii="Trebuchet MS" w:hAnsi="Trebuchet MS"/>
            <w:noProof/>
            <w:webHidden/>
          </w:rPr>
          <w:fldChar w:fldCharType="end"/>
        </w:r>
      </w:hyperlink>
    </w:p>
    <w:p w:rsidR="00DF7388" w:rsidRPr="00DF7388" w:rsidRDefault="00EE3E92"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2" w:history="1">
        <w:r w:rsidR="00DF7388" w:rsidRPr="00DF7388">
          <w:rPr>
            <w:rStyle w:val="Lienhypertexte"/>
            <w:rFonts w:ascii="Trebuchet MS" w:hAnsi="Trebuchet MS"/>
            <w:noProof/>
            <w:lang w:eastAsia="fr-FR"/>
          </w:rPr>
          <w:t>Graphique 28 : Prix du KWh que sont disposés à payer les ménages en fonction du nombre de coupures</w:t>
        </w:r>
        <w:r w:rsidR="00DF7388" w:rsidRPr="00DF7388">
          <w:rPr>
            <w:rFonts w:ascii="Trebuchet MS" w:hAnsi="Trebuchet MS"/>
            <w:noProof/>
            <w:webHidden/>
          </w:rPr>
          <w:tab/>
        </w:r>
        <w:r w:rsidR="00792500"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_Toc426359282 \h </w:instrText>
        </w:r>
        <w:r w:rsidR="00792500" w:rsidRPr="00DF7388">
          <w:rPr>
            <w:rFonts w:ascii="Trebuchet MS" w:hAnsi="Trebuchet MS"/>
            <w:noProof/>
            <w:webHidden/>
          </w:rPr>
        </w:r>
        <w:r w:rsidR="00792500" w:rsidRPr="00DF7388">
          <w:rPr>
            <w:rFonts w:ascii="Trebuchet MS" w:hAnsi="Trebuchet MS"/>
            <w:noProof/>
            <w:webHidden/>
          </w:rPr>
          <w:fldChar w:fldCharType="separate"/>
        </w:r>
        <w:r w:rsidR="00DF7388" w:rsidRPr="00DF7388">
          <w:rPr>
            <w:rFonts w:ascii="Trebuchet MS" w:hAnsi="Trebuchet MS"/>
            <w:noProof/>
            <w:webHidden/>
          </w:rPr>
          <w:t>90</w:t>
        </w:r>
        <w:r w:rsidR="00792500" w:rsidRPr="00DF7388">
          <w:rPr>
            <w:rFonts w:ascii="Trebuchet MS" w:hAnsi="Trebuchet MS"/>
            <w:noProof/>
            <w:webHidden/>
          </w:rPr>
          <w:fldChar w:fldCharType="end"/>
        </w:r>
      </w:hyperlink>
    </w:p>
    <w:p w:rsidR="00EB30B6" w:rsidRPr="0072397D" w:rsidRDefault="00792500" w:rsidP="00DF7388">
      <w:pPr>
        <w:pStyle w:val="Tabledesillustrations"/>
        <w:tabs>
          <w:tab w:val="right" w:leader="dot" w:pos="9062"/>
        </w:tabs>
        <w:jc w:val="both"/>
        <w:rPr>
          <w:rFonts w:ascii="Trebuchet MS" w:hAnsi="Trebuchet MS"/>
          <w:sz w:val="24"/>
          <w:szCs w:val="24"/>
        </w:rPr>
      </w:pPr>
      <w:r w:rsidRPr="00DF7388">
        <w:rPr>
          <w:rFonts w:ascii="Trebuchet MS" w:hAnsi="Trebuchet MS"/>
        </w:rPr>
        <w:fldChar w:fldCharType="end"/>
      </w:r>
      <w:r w:rsidR="00EB30B6" w:rsidRPr="0072397D">
        <w:rPr>
          <w:rFonts w:ascii="Trebuchet MS" w:hAnsi="Trebuchet MS"/>
          <w:sz w:val="24"/>
          <w:szCs w:val="24"/>
        </w:rPr>
        <w:br w:type="page"/>
      </w:r>
    </w:p>
    <w:p w:rsidR="00EB30B6" w:rsidRPr="0072397D" w:rsidRDefault="00982EF2" w:rsidP="0044323F">
      <w:pPr>
        <w:pStyle w:val="Titre1"/>
      </w:pPr>
      <w:bookmarkStart w:id="27" w:name="_Toc421805402"/>
      <w:bookmarkStart w:id="28" w:name="_Toc421806955"/>
      <w:bookmarkStart w:id="29" w:name="_Toc425961622"/>
      <w:bookmarkStart w:id="30" w:name="_Toc426359387"/>
      <w:bookmarkStart w:id="31" w:name="_Toc426359417"/>
      <w:r w:rsidRPr="0072397D">
        <w:t>NOTE METHODOLOGIQUE SUR L’ENQUETE</w:t>
      </w:r>
      <w:bookmarkEnd w:id="27"/>
      <w:bookmarkEnd w:id="28"/>
      <w:bookmarkEnd w:id="29"/>
      <w:bookmarkEnd w:id="30"/>
      <w:bookmarkEnd w:id="31"/>
    </w:p>
    <w:p w:rsidR="00170FF4" w:rsidRPr="00F961EC" w:rsidRDefault="003325AC" w:rsidP="00934AB3">
      <w:pPr>
        <w:pStyle w:val="Paragraphedeliste"/>
        <w:numPr>
          <w:ilvl w:val="0"/>
          <w:numId w:val="3"/>
        </w:numPr>
        <w:tabs>
          <w:tab w:val="left" w:pos="284"/>
        </w:tabs>
        <w:spacing w:before="240" w:after="120"/>
        <w:ind w:left="142" w:hanging="142"/>
        <w:contextualSpacing w:val="0"/>
        <w:jc w:val="both"/>
        <w:rPr>
          <w:rFonts w:ascii="Trebuchet MS" w:hAnsi="Trebuchet MS"/>
          <w:szCs w:val="24"/>
        </w:rPr>
      </w:pPr>
      <w:r w:rsidRPr="00F961EC">
        <w:rPr>
          <w:rFonts w:ascii="Trebuchet MS" w:hAnsi="Trebuchet MS"/>
          <w:szCs w:val="24"/>
        </w:rPr>
        <w:t xml:space="preserve">L’enquête sur la consommation d’électricité au Bénin a été réalisée auprès d’un échantillon de ménages </w:t>
      </w:r>
      <w:r w:rsidR="00170FF4" w:rsidRPr="00F961EC">
        <w:rPr>
          <w:rFonts w:ascii="Trebuchet MS" w:hAnsi="Trebuchet MS"/>
          <w:szCs w:val="24"/>
        </w:rPr>
        <w:t xml:space="preserve">répartis sur l’ensemble des </w:t>
      </w:r>
      <w:r w:rsidRPr="00F961EC">
        <w:rPr>
          <w:rFonts w:ascii="Trebuchet MS" w:hAnsi="Trebuchet MS"/>
          <w:szCs w:val="24"/>
        </w:rPr>
        <w:t xml:space="preserve">douze départements du Bénin. L’enquête s’est déroulée aussi bien en milieu rural qu’en milieu urbain. </w:t>
      </w:r>
    </w:p>
    <w:p w:rsidR="00170FF4" w:rsidRPr="00F961EC" w:rsidRDefault="0091230E"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L</w:t>
      </w:r>
      <w:r w:rsidR="00170FF4" w:rsidRPr="00F961EC">
        <w:rPr>
          <w:rFonts w:ascii="Trebuchet MS" w:hAnsi="Trebuchet MS"/>
          <w:szCs w:val="24"/>
        </w:rPr>
        <w:t>’unité statistique observée est le ménage ordinaire. Il se définit comme un ensemble de personnes apparentées ou non reconnaissant l’autorité d’un même individu appelé « chef de ménage » et dont les ressources et les dépenses sont également communes. Elles habitent le plus souvent sous un même toit, dans la même cour ou la même concession.</w:t>
      </w:r>
    </w:p>
    <w:p w:rsidR="00DF740B" w:rsidRPr="00F961EC" w:rsidRDefault="00DF740B"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L’échantillon de ménages retenu est un sous échantillon de celui de l’Enquête Modulaire Intégré sur les Conditions de vies des ménages</w:t>
      </w:r>
      <w:r w:rsidR="00F81AA4" w:rsidRPr="00F961EC">
        <w:rPr>
          <w:rFonts w:ascii="Trebuchet MS" w:hAnsi="Trebuchet MS"/>
          <w:szCs w:val="24"/>
        </w:rPr>
        <w:t xml:space="preserve"> (</w:t>
      </w:r>
      <w:r w:rsidRPr="00F961EC">
        <w:rPr>
          <w:rFonts w:ascii="Trebuchet MS" w:hAnsi="Trebuchet MS"/>
          <w:szCs w:val="24"/>
        </w:rPr>
        <w:t>EMICoV 2015</w:t>
      </w:r>
      <w:r w:rsidR="00F81AA4" w:rsidRPr="00F961EC">
        <w:rPr>
          <w:rFonts w:ascii="Trebuchet MS" w:hAnsi="Trebuchet MS"/>
          <w:szCs w:val="24"/>
        </w:rPr>
        <w:t>)</w:t>
      </w:r>
      <w:r w:rsidRPr="00F961EC">
        <w:rPr>
          <w:rFonts w:ascii="Trebuchet MS" w:hAnsi="Trebuchet MS"/>
          <w:szCs w:val="24"/>
        </w:rPr>
        <w:t xml:space="preserve">. L’enquête sur </w:t>
      </w:r>
      <w:r w:rsidR="00646862" w:rsidRPr="00F961EC">
        <w:rPr>
          <w:rFonts w:ascii="Trebuchet MS" w:hAnsi="Trebuchet MS"/>
          <w:szCs w:val="24"/>
        </w:rPr>
        <w:t>la consommation d’électricité au Bénin</w:t>
      </w:r>
      <w:r w:rsidRPr="00F961EC">
        <w:rPr>
          <w:rFonts w:ascii="Trebuchet MS" w:hAnsi="Trebuchet MS"/>
          <w:szCs w:val="24"/>
        </w:rPr>
        <w:t xml:space="preserve"> a utilisé un plan de sondage à deux degrés comme ce fut le cas pour EMICoV. Au premier degré, les zones de dénombrement (ZD) ont été tiré</w:t>
      </w:r>
      <w:r w:rsidR="00646862" w:rsidRPr="00F961EC">
        <w:rPr>
          <w:rFonts w:ascii="Trebuchet MS" w:hAnsi="Trebuchet MS"/>
          <w:szCs w:val="24"/>
        </w:rPr>
        <w:t>es</w:t>
      </w:r>
      <w:r w:rsidRPr="00F961EC">
        <w:rPr>
          <w:rFonts w:ascii="Trebuchet MS" w:hAnsi="Trebuchet MS"/>
          <w:szCs w:val="24"/>
        </w:rPr>
        <w:t xml:space="preserve"> de façon proportionnelle à leur taille en nombre de ménagesdans les départements. Au deuxième degré, les ménages ont été tirés de façon systématique</w:t>
      </w:r>
      <w:r w:rsidR="00646862" w:rsidRPr="00F961EC">
        <w:rPr>
          <w:rFonts w:ascii="Trebuchet MS" w:hAnsi="Trebuchet MS"/>
          <w:szCs w:val="24"/>
        </w:rPr>
        <w:t xml:space="preserve"> à l’intérieur des ZD</w:t>
      </w:r>
      <w:r w:rsidRPr="00F961EC">
        <w:rPr>
          <w:rFonts w:ascii="Trebuchet MS" w:hAnsi="Trebuchet MS"/>
          <w:szCs w:val="24"/>
        </w:rPr>
        <w:t xml:space="preserve">. Au total, 164 ZD ont été tirés et 24 ménages </w:t>
      </w:r>
      <w:r w:rsidR="00096FF8" w:rsidRPr="00F961EC">
        <w:rPr>
          <w:rFonts w:ascii="Trebuchet MS" w:hAnsi="Trebuchet MS"/>
          <w:szCs w:val="24"/>
        </w:rPr>
        <w:t xml:space="preserve">étaient prévus pour être </w:t>
      </w:r>
      <w:r w:rsidRPr="00F961EC">
        <w:rPr>
          <w:rFonts w:ascii="Trebuchet MS" w:hAnsi="Trebuchet MS"/>
          <w:szCs w:val="24"/>
        </w:rPr>
        <w:t>enquêtés dans chaque ZD</w:t>
      </w:r>
      <w:r w:rsidR="005161B2" w:rsidRPr="00F961EC">
        <w:rPr>
          <w:rFonts w:ascii="Trebuchet MS" w:hAnsi="Trebuchet MS"/>
          <w:szCs w:val="24"/>
        </w:rPr>
        <w:t xml:space="preserve"> soit </w:t>
      </w:r>
      <w:r w:rsidR="00C15F7A" w:rsidRPr="00F961EC">
        <w:rPr>
          <w:rFonts w:ascii="Trebuchet MS" w:hAnsi="Trebuchet MS"/>
          <w:szCs w:val="24"/>
        </w:rPr>
        <w:t>3936 ménages</w:t>
      </w:r>
      <w:r w:rsidRPr="00F961EC">
        <w:rPr>
          <w:rFonts w:ascii="Trebuchet MS" w:hAnsi="Trebuchet MS"/>
          <w:szCs w:val="24"/>
        </w:rPr>
        <w:t>.</w:t>
      </w:r>
    </w:p>
    <w:p w:rsidR="00424C02" w:rsidRPr="00F961EC" w:rsidRDefault="00424C02"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 xml:space="preserve">Avant de procéder à la collecte proprement dite, une enquête pilote de 3 jours a été réalisée en décembre 2014 à Agontikon dans le 8ème Arrondissement de Cotonou et à Missessinto dans l’arrondissement d’Akassato dans la commune d’Abomey-Calavi. L’objectif de cette opération était de tester les supports de collecte et l’ensemble du dispositif afin d’identifier leurs insuffisances et évaluer la charge </w:t>
      </w:r>
      <w:r w:rsidR="00BA59E9" w:rsidRPr="00F961EC">
        <w:rPr>
          <w:rFonts w:ascii="Trebuchet MS" w:hAnsi="Trebuchet MS"/>
          <w:szCs w:val="24"/>
        </w:rPr>
        <w:t xml:space="preserve">journalière </w:t>
      </w:r>
      <w:r w:rsidRPr="00F961EC">
        <w:rPr>
          <w:rFonts w:ascii="Trebuchet MS" w:hAnsi="Trebuchet MS"/>
          <w:szCs w:val="24"/>
        </w:rPr>
        <w:t>de travail par agent enquêteur.</w:t>
      </w:r>
    </w:p>
    <w:p w:rsidR="00705B5A" w:rsidRPr="00F961EC" w:rsidRDefault="00FC4DBB"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 xml:space="preserve">Le dénombrement proprement dit a duré 15 jours. </w:t>
      </w:r>
      <w:r w:rsidR="005161B2" w:rsidRPr="00F961EC">
        <w:rPr>
          <w:rFonts w:ascii="Trebuchet MS" w:hAnsi="Trebuchet MS"/>
          <w:szCs w:val="24"/>
        </w:rPr>
        <w:t>La méthode de collecte utilisée</w:t>
      </w:r>
      <w:r w:rsidRPr="00F961EC">
        <w:rPr>
          <w:rFonts w:ascii="Trebuchet MS" w:hAnsi="Trebuchet MS"/>
          <w:szCs w:val="24"/>
        </w:rPr>
        <w:t>au cours de cette phase</w:t>
      </w:r>
      <w:r w:rsidR="005161B2" w:rsidRPr="00F961EC">
        <w:rPr>
          <w:rFonts w:ascii="Trebuchet MS" w:hAnsi="Trebuchet MS"/>
          <w:szCs w:val="24"/>
        </w:rPr>
        <w:t xml:space="preserve">est celle de l’interview directe </w:t>
      </w:r>
      <w:r w:rsidR="00A73CDD" w:rsidRPr="00F961EC">
        <w:rPr>
          <w:rFonts w:ascii="Trebuchet MS" w:hAnsi="Trebuchet MS"/>
          <w:szCs w:val="24"/>
        </w:rPr>
        <w:t>assistée par</w:t>
      </w:r>
      <w:r w:rsidR="00C52049" w:rsidRPr="00F961EC">
        <w:rPr>
          <w:rFonts w:ascii="Trebuchet MS" w:hAnsi="Trebuchet MS"/>
          <w:szCs w:val="24"/>
        </w:rPr>
        <w:t xml:space="preserve"> ordinateur</w:t>
      </w:r>
      <w:r w:rsidR="00A73CDD" w:rsidRPr="00F961EC">
        <w:rPr>
          <w:rFonts w:ascii="Trebuchet MS" w:hAnsi="Trebuchet MS"/>
          <w:szCs w:val="24"/>
        </w:rPr>
        <w:t xml:space="preserve">. </w:t>
      </w:r>
      <w:r w:rsidRPr="00F961EC">
        <w:rPr>
          <w:rFonts w:ascii="Trebuchet MS" w:hAnsi="Trebuchet MS"/>
          <w:szCs w:val="24"/>
        </w:rPr>
        <w:t xml:space="preserve">Le </w:t>
      </w:r>
      <w:r w:rsidR="00A73CDD" w:rsidRPr="00F961EC">
        <w:rPr>
          <w:rFonts w:ascii="Trebuchet MS" w:hAnsi="Trebuchet MS"/>
          <w:szCs w:val="24"/>
        </w:rPr>
        <w:t>Computer AssistedPersonal Interview (CAPI) permet de disposer des données d</w:t>
      </w:r>
      <w:r w:rsidRPr="00F961EC">
        <w:rPr>
          <w:rFonts w:ascii="Trebuchet MS" w:hAnsi="Trebuchet MS"/>
          <w:szCs w:val="24"/>
        </w:rPr>
        <w:t>’</w:t>
      </w:r>
      <w:r w:rsidR="00A73CDD" w:rsidRPr="00F961EC">
        <w:rPr>
          <w:rFonts w:ascii="Trebuchet MS" w:hAnsi="Trebuchet MS"/>
          <w:szCs w:val="24"/>
        </w:rPr>
        <w:t xml:space="preserve">enquête dans des délais très courts. </w:t>
      </w:r>
      <w:r w:rsidR="00705B5A" w:rsidRPr="00F961EC">
        <w:rPr>
          <w:rFonts w:ascii="Trebuchet MS" w:hAnsi="Trebuchet MS"/>
          <w:szCs w:val="24"/>
        </w:rPr>
        <w:t xml:space="preserve">Cette méthode garantit la qualité des données en ce sens que l’application de saisie installée sur les ordinateurs contient des règles de contrôle empêchant de saisir des données aberrantes. </w:t>
      </w:r>
    </w:p>
    <w:p w:rsidR="00CD3F7A" w:rsidRPr="00F961EC" w:rsidRDefault="00C974D8"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szCs w:val="24"/>
        </w:rPr>
        <w:t xml:space="preserve">Au total, 80 agents (dont 16 chefs d’équipe) ont été mobilisés pour la collecte des données sur le terrain. </w:t>
      </w:r>
    </w:p>
    <w:p w:rsidR="00C974D8" w:rsidRPr="00F961EC" w:rsidRDefault="00E3790A"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cs="Arial"/>
          <w:szCs w:val="24"/>
        </w:rPr>
        <w:t>La collecte des données a été réalisée sous la supervision technique des Cadres de l’INSAE, appuyés par l’Unité de Coordination et de Formulation du second compact</w:t>
      </w:r>
      <w:r w:rsidR="00B414FB" w:rsidRPr="00F961EC">
        <w:rPr>
          <w:rFonts w:ascii="Trebuchet MS" w:hAnsi="Trebuchet MS" w:cs="Arial"/>
          <w:szCs w:val="24"/>
        </w:rPr>
        <w:t xml:space="preserve"> du Millenium Challenge Account (UCF/MCA-2</w:t>
      </w:r>
      <w:r w:rsidR="00F55A49" w:rsidRPr="00F961EC">
        <w:rPr>
          <w:rFonts w:ascii="Trebuchet MS" w:hAnsi="Trebuchet MS" w:cs="Arial"/>
          <w:szCs w:val="24"/>
        </w:rPr>
        <w:t>)</w:t>
      </w:r>
      <w:r w:rsidR="00EF3B48" w:rsidRPr="00F961EC">
        <w:rPr>
          <w:rFonts w:ascii="Trebuchet MS" w:hAnsi="Trebuchet MS" w:cs="Arial"/>
          <w:szCs w:val="24"/>
        </w:rPr>
        <w:t xml:space="preserve"> et la Mission du Millenium Challenge Corporation</w:t>
      </w:r>
      <w:r w:rsidR="00FB43A0" w:rsidRPr="00F961EC">
        <w:rPr>
          <w:rFonts w:ascii="Trebuchet MS" w:hAnsi="Trebuchet MS" w:cs="Arial"/>
          <w:szCs w:val="24"/>
        </w:rPr>
        <w:t xml:space="preserve"> (MCC)</w:t>
      </w:r>
      <w:r w:rsidR="00EF3B48" w:rsidRPr="00F961EC">
        <w:rPr>
          <w:rFonts w:ascii="Trebuchet MS" w:hAnsi="Trebuchet MS" w:cs="Arial"/>
          <w:szCs w:val="24"/>
        </w:rPr>
        <w:t xml:space="preserve"> en séjour au Bénin pour l’enquête</w:t>
      </w:r>
      <w:r w:rsidR="00AF4F07" w:rsidRPr="00F961EC">
        <w:rPr>
          <w:rFonts w:ascii="Trebuchet MS" w:hAnsi="Trebuchet MS" w:cs="Arial"/>
          <w:szCs w:val="24"/>
        </w:rPr>
        <w:t>.</w:t>
      </w:r>
    </w:p>
    <w:p w:rsidR="00E3790A" w:rsidRPr="00F961EC" w:rsidRDefault="00AF4F07"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cs="Arial"/>
          <w:szCs w:val="24"/>
        </w:rPr>
        <w:t xml:space="preserve">A l’issue de l’enquête, les données collectées ont été fusionnées et apurées </w:t>
      </w:r>
      <w:r w:rsidR="00C974D8" w:rsidRPr="00F961EC">
        <w:rPr>
          <w:rFonts w:ascii="Trebuchet MS" w:hAnsi="Trebuchet MS" w:cs="Arial"/>
          <w:szCs w:val="24"/>
        </w:rPr>
        <w:t xml:space="preserve">avant de procéder à la tabulation et à l’analyse des résultats qui sont présentés dans </w:t>
      </w:r>
      <w:r w:rsidR="00FB43A0" w:rsidRPr="00F961EC">
        <w:rPr>
          <w:rFonts w:ascii="Trebuchet MS" w:hAnsi="Trebuchet MS" w:cs="Arial"/>
          <w:szCs w:val="24"/>
        </w:rPr>
        <w:t>c</w:t>
      </w:r>
      <w:r w:rsidR="00C974D8" w:rsidRPr="00F961EC">
        <w:rPr>
          <w:rFonts w:ascii="Trebuchet MS" w:hAnsi="Trebuchet MS" w:cs="Arial"/>
          <w:szCs w:val="24"/>
        </w:rPr>
        <w:t>e rapport.</w:t>
      </w:r>
    </w:p>
    <w:p w:rsidR="00A51B5D" w:rsidRPr="00F961EC" w:rsidRDefault="00A51B5D" w:rsidP="00934AB3">
      <w:pPr>
        <w:rPr>
          <w:rFonts w:ascii="Trebuchet MS" w:hAnsi="Trebuchet MS"/>
        </w:rPr>
      </w:pPr>
    </w:p>
    <w:p w:rsidR="00E55982" w:rsidRPr="00F961EC" w:rsidRDefault="00E55982">
      <w:pPr>
        <w:spacing w:after="0" w:line="240" w:lineRule="auto"/>
        <w:rPr>
          <w:rFonts w:ascii="Trebuchet MS" w:hAnsi="Trebuchet MS"/>
        </w:rPr>
      </w:pPr>
      <w:r w:rsidRPr="00F961EC">
        <w:rPr>
          <w:rFonts w:ascii="Trebuchet MS" w:hAnsi="Trebuchet MS"/>
        </w:rPr>
        <w:br w:type="page"/>
      </w:r>
    </w:p>
    <w:p w:rsidR="002F4C5F" w:rsidRPr="0072397D" w:rsidRDefault="002F4C5F" w:rsidP="0044323F">
      <w:pPr>
        <w:pStyle w:val="Titre1"/>
      </w:pPr>
      <w:bookmarkStart w:id="32" w:name="_Toc421805404"/>
      <w:bookmarkStart w:id="33" w:name="_Toc421806957"/>
      <w:bookmarkStart w:id="34" w:name="_Toc425961624"/>
      <w:bookmarkStart w:id="35" w:name="_Toc426359388"/>
      <w:bookmarkStart w:id="36" w:name="_Toc426359418"/>
      <w:bookmarkStart w:id="37" w:name="_Toc403929798"/>
      <w:bookmarkStart w:id="38" w:name="_Toc403933507"/>
      <w:r w:rsidRPr="0072397D">
        <w:t>INTRODUCTION</w:t>
      </w:r>
      <w:bookmarkEnd w:id="32"/>
      <w:bookmarkEnd w:id="33"/>
      <w:bookmarkEnd w:id="34"/>
      <w:bookmarkEnd w:id="35"/>
      <w:bookmarkEnd w:id="36"/>
      <w:bookmarkEnd w:id="37"/>
      <w:bookmarkEnd w:id="38"/>
    </w:p>
    <w:p w:rsidR="000C0486" w:rsidRPr="00A35026" w:rsidRDefault="00BA6242" w:rsidP="006E6738">
      <w:pPr>
        <w:spacing w:before="240"/>
        <w:jc w:val="both"/>
        <w:rPr>
          <w:rFonts w:ascii="Trebuchet MS" w:hAnsi="Trebuchet MS" w:cs="Arial"/>
          <w:color w:val="222222"/>
          <w:lang w:eastAsia="fr-FR"/>
        </w:rPr>
      </w:pPr>
      <w:r w:rsidRPr="00A35026">
        <w:rPr>
          <w:rFonts w:ascii="Trebuchet MS" w:hAnsi="Trebuchet MS"/>
        </w:rPr>
        <w:t>L</w:t>
      </w:r>
      <w:r w:rsidR="00887E61" w:rsidRPr="00A35026">
        <w:rPr>
          <w:rFonts w:ascii="Trebuchet MS" w:hAnsi="Trebuchet MS"/>
        </w:rPr>
        <w:t xml:space="preserve">’énergie est une ressource indispensable </w:t>
      </w:r>
      <w:r w:rsidR="006A499C" w:rsidRPr="00A35026">
        <w:rPr>
          <w:rFonts w:ascii="Trebuchet MS" w:hAnsi="Trebuchet MS"/>
        </w:rPr>
        <w:t>pour le bon fonctionnement de tout système ou organisation. Elle a un impact positif indéniable sur le bien-être des populations et sa maîtrise offre un cadre favorable à la création de richesse. C’est à juste titre qu</w:t>
      </w:r>
      <w:r w:rsidR="00BF2482" w:rsidRPr="00A35026">
        <w:rPr>
          <w:rFonts w:ascii="Trebuchet MS" w:hAnsi="Trebuchet MS"/>
        </w:rPr>
        <w:t>’à la conférence de Rio+10 sur le développement durable, tenue à Johannesburg en 2002, il</w:t>
      </w:r>
      <w:r w:rsidR="00E31B94">
        <w:rPr>
          <w:rFonts w:ascii="Trebuchet MS" w:hAnsi="Trebuchet MS"/>
        </w:rPr>
        <w:t xml:space="preserve"> a</w:t>
      </w:r>
      <w:r w:rsidR="00BF2482" w:rsidRPr="00A35026">
        <w:rPr>
          <w:rFonts w:ascii="Trebuchet MS" w:hAnsi="Trebuchet MS"/>
        </w:rPr>
        <w:t xml:space="preserve"> été admis que, sans les services énergétiques, les Objectifs du Millénaire pour le Développement (OMD) ne pour</w:t>
      </w:r>
      <w:r w:rsidR="00474D53" w:rsidRPr="00A35026">
        <w:rPr>
          <w:rFonts w:ascii="Trebuchet MS" w:hAnsi="Trebuchet MS"/>
        </w:rPr>
        <w:t>raien</w:t>
      </w:r>
      <w:r w:rsidR="00BF2482" w:rsidRPr="00A35026">
        <w:rPr>
          <w:rFonts w:ascii="Trebuchet MS" w:hAnsi="Trebuchet MS"/>
        </w:rPr>
        <w:t>t pas être atteints en 2015.</w:t>
      </w:r>
      <w:r w:rsidR="000C0486" w:rsidRPr="00A35026">
        <w:rPr>
          <w:rFonts w:ascii="Trebuchet MS" w:hAnsi="Trebuchet MS"/>
        </w:rPr>
        <w:t xml:space="preserve"> La fourniture de services énergétiques de qualité reste </w:t>
      </w:r>
      <w:r w:rsidR="00EA4AE7" w:rsidRPr="00A35026">
        <w:rPr>
          <w:rFonts w:ascii="Trebuchet MS" w:hAnsi="Trebuchet MS" w:cs="Arial"/>
          <w:color w:val="222222"/>
          <w:lang w:eastAsia="fr-FR"/>
        </w:rPr>
        <w:t>l'un des plus grands défis pour la croissance et le développement économique</w:t>
      </w:r>
      <w:r w:rsidR="000C0486" w:rsidRPr="00A35026">
        <w:rPr>
          <w:rFonts w:ascii="Trebuchet MS" w:hAnsi="Trebuchet MS" w:cs="Arial"/>
          <w:color w:val="222222"/>
          <w:lang w:eastAsia="fr-FR"/>
        </w:rPr>
        <w:t>.</w:t>
      </w:r>
    </w:p>
    <w:p w:rsidR="00EA4AE7" w:rsidRPr="00A35026" w:rsidRDefault="004740F5" w:rsidP="000C0486">
      <w:pPr>
        <w:jc w:val="both"/>
        <w:rPr>
          <w:rFonts w:ascii="Trebuchet MS" w:hAnsi="Trebuchet MS" w:cs="Arial"/>
          <w:color w:val="222222"/>
          <w:lang w:eastAsia="fr-FR"/>
        </w:rPr>
      </w:pPr>
      <w:r w:rsidRPr="00A35026">
        <w:rPr>
          <w:rFonts w:ascii="Trebuchet MS" w:hAnsi="Trebuchet MS" w:cs="Arial"/>
          <w:color w:val="222222"/>
          <w:lang w:eastAsia="fr-FR"/>
        </w:rPr>
        <w:t xml:space="preserve">La situation énergétique du Bénin se caractérise </w:t>
      </w:r>
      <w:r w:rsidRPr="00A35026">
        <w:rPr>
          <w:rStyle w:val="hps"/>
          <w:rFonts w:ascii="Trebuchet MS" w:hAnsi="Trebuchet MS" w:cs="Arial"/>
          <w:color w:val="222222"/>
        </w:rPr>
        <w:t>par une prédominancede la biomasse</w:t>
      </w:r>
      <w:r w:rsidR="000346DF" w:rsidRPr="00A35026">
        <w:rPr>
          <w:rStyle w:val="hps"/>
          <w:rFonts w:ascii="Trebuchet MS" w:hAnsi="Trebuchet MS" w:cs="Arial"/>
          <w:color w:val="222222"/>
        </w:rPr>
        <w:t xml:space="preserve"> (bois de feu, charbon de bois et déchets végétaux)</w:t>
      </w:r>
      <w:r w:rsidRPr="00A35026">
        <w:rPr>
          <w:rStyle w:val="hps"/>
          <w:rFonts w:ascii="Trebuchet MS" w:hAnsi="Trebuchet MS" w:cs="Arial"/>
          <w:color w:val="222222"/>
        </w:rPr>
        <w:t>(</w:t>
      </w:r>
      <w:r w:rsidRPr="00A35026">
        <w:rPr>
          <w:rFonts w:ascii="Trebuchet MS" w:hAnsi="Trebuchet MS" w:cs="Arial"/>
          <w:color w:val="222222"/>
        </w:rPr>
        <w:t xml:space="preserve">59,4%) et </w:t>
      </w:r>
      <w:r w:rsidRPr="00A35026">
        <w:rPr>
          <w:rStyle w:val="hps"/>
          <w:rFonts w:ascii="Trebuchet MS" w:hAnsi="Trebuchet MS" w:cs="Arial"/>
          <w:color w:val="222222"/>
        </w:rPr>
        <w:t>des produits pétroliers(</w:t>
      </w:r>
      <w:r w:rsidRPr="00A35026">
        <w:rPr>
          <w:rFonts w:ascii="Trebuchet MS" w:hAnsi="Trebuchet MS" w:cs="Arial"/>
          <w:color w:val="222222"/>
        </w:rPr>
        <w:t xml:space="preserve">38,4%) </w:t>
      </w:r>
      <w:r w:rsidRPr="00A35026">
        <w:rPr>
          <w:rStyle w:val="hps"/>
          <w:rFonts w:ascii="Trebuchet MS" w:hAnsi="Trebuchet MS" w:cs="Arial"/>
          <w:color w:val="222222"/>
        </w:rPr>
        <w:t>dans lebouquet global</w:t>
      </w:r>
      <w:r w:rsidRPr="00A35026">
        <w:rPr>
          <w:rFonts w:ascii="Trebuchet MS" w:hAnsi="Trebuchet MS" w:cs="Arial"/>
          <w:color w:val="222222"/>
        </w:rPr>
        <w:t>. L’énergie é</w:t>
      </w:r>
      <w:r w:rsidRPr="00A35026">
        <w:rPr>
          <w:rStyle w:val="hps"/>
          <w:rFonts w:ascii="Trebuchet MS" w:hAnsi="Trebuchet MS" w:cs="Arial"/>
          <w:color w:val="222222"/>
        </w:rPr>
        <w:t>lectri</w:t>
      </w:r>
      <w:r w:rsidR="00134D9F" w:rsidRPr="00A35026">
        <w:rPr>
          <w:rStyle w:val="hps"/>
          <w:rFonts w:ascii="Trebuchet MS" w:hAnsi="Trebuchet MS" w:cs="Arial"/>
          <w:color w:val="222222"/>
        </w:rPr>
        <w:t>que</w:t>
      </w:r>
      <w:r w:rsidRPr="00A35026">
        <w:rPr>
          <w:rStyle w:val="hps"/>
          <w:rFonts w:ascii="Trebuchet MS" w:hAnsi="Trebuchet MS" w:cs="Arial"/>
          <w:color w:val="222222"/>
        </w:rPr>
        <w:t>ne représente que2,2</w:t>
      </w:r>
      <w:r w:rsidRPr="00A35026">
        <w:rPr>
          <w:rFonts w:ascii="Trebuchet MS" w:hAnsi="Trebuchet MS" w:cs="Arial"/>
          <w:color w:val="222222"/>
        </w:rPr>
        <w:t>% du mix.</w:t>
      </w:r>
      <w:r w:rsidR="00EA4AE7" w:rsidRPr="00A35026">
        <w:rPr>
          <w:rFonts w:ascii="Trebuchet MS" w:hAnsi="Trebuchet MS" w:cs="Arial"/>
          <w:color w:val="222222"/>
          <w:lang w:eastAsia="fr-FR"/>
        </w:rPr>
        <w:t xml:space="preserve">La demande actuelle </w:t>
      </w:r>
      <w:r w:rsidR="00480455" w:rsidRPr="00A35026">
        <w:rPr>
          <w:rFonts w:ascii="Trebuchet MS" w:hAnsi="Trebuchet MS" w:cs="Arial"/>
          <w:color w:val="222222"/>
          <w:lang w:eastAsia="fr-FR"/>
        </w:rPr>
        <w:t xml:space="preserve">du Bénin </w:t>
      </w:r>
      <w:r w:rsidR="00EA4AE7" w:rsidRPr="00A35026">
        <w:rPr>
          <w:rFonts w:ascii="Trebuchet MS" w:hAnsi="Trebuchet MS" w:cs="Arial"/>
          <w:color w:val="222222"/>
          <w:lang w:eastAsia="fr-FR"/>
        </w:rPr>
        <w:t xml:space="preserve">en électricité </w:t>
      </w:r>
      <w:r w:rsidR="00A8188A" w:rsidRPr="00A35026">
        <w:rPr>
          <w:rFonts w:ascii="Trebuchet MS" w:hAnsi="Trebuchet MS" w:cs="Arial"/>
          <w:color w:val="222222"/>
          <w:lang w:eastAsia="fr-FR"/>
        </w:rPr>
        <w:t xml:space="preserve">se situe entre </w:t>
      </w:r>
      <w:r w:rsidR="00EA4AE7" w:rsidRPr="00A35026">
        <w:rPr>
          <w:rFonts w:ascii="Trebuchet MS" w:hAnsi="Trebuchet MS" w:cs="Arial"/>
          <w:color w:val="222222"/>
          <w:lang w:eastAsia="fr-FR"/>
        </w:rPr>
        <w:t xml:space="preserve">200 et 250 MW. Cependant, la Société Béninoise d'Energie Electrique (SBEE) ne fournit </w:t>
      </w:r>
      <w:r w:rsidR="00A20862" w:rsidRPr="00A35026">
        <w:rPr>
          <w:rFonts w:ascii="Trebuchet MS" w:hAnsi="Trebuchet MS" w:cs="Arial"/>
          <w:color w:val="222222"/>
          <w:lang w:eastAsia="fr-FR"/>
        </w:rPr>
        <w:t>qu’</w:t>
      </w:r>
      <w:r w:rsidR="00EA4AE7" w:rsidRPr="00A35026">
        <w:rPr>
          <w:rFonts w:ascii="Trebuchet MS" w:hAnsi="Trebuchet MS" w:cs="Arial"/>
          <w:color w:val="222222"/>
          <w:lang w:eastAsia="fr-FR"/>
        </w:rPr>
        <w:t>environ 1</w:t>
      </w:r>
      <w:r w:rsidR="00A20862" w:rsidRPr="00A35026">
        <w:rPr>
          <w:rFonts w:ascii="Trebuchet MS" w:hAnsi="Trebuchet MS" w:cs="Arial"/>
          <w:color w:val="222222"/>
          <w:lang w:eastAsia="fr-FR"/>
        </w:rPr>
        <w:t xml:space="preserve">01 </w:t>
      </w:r>
      <w:r w:rsidR="00EA4AE7" w:rsidRPr="00A35026">
        <w:rPr>
          <w:rFonts w:ascii="Trebuchet MS" w:hAnsi="Trebuchet MS" w:cs="Arial"/>
          <w:color w:val="222222"/>
          <w:lang w:eastAsia="fr-FR"/>
        </w:rPr>
        <w:t>MW</w:t>
      </w:r>
      <w:r w:rsidR="00A20862" w:rsidRPr="00A35026">
        <w:rPr>
          <w:rFonts w:ascii="Trebuchet MS" w:hAnsi="Trebuchet MS" w:cs="Arial"/>
          <w:color w:val="222222"/>
          <w:lang w:eastAsia="fr-FR"/>
        </w:rPr>
        <w:t xml:space="preserve"> après déduction des pertes sur réseau ; soit un déficit de 99 MW si l’on considère la demande de 200 MW</w:t>
      </w:r>
      <w:r w:rsidR="00EA4AE7" w:rsidRPr="00A35026">
        <w:rPr>
          <w:rFonts w:ascii="Trebuchet MS" w:hAnsi="Trebuchet MS" w:cs="Arial"/>
          <w:color w:val="222222"/>
          <w:lang w:eastAsia="fr-FR"/>
        </w:rPr>
        <w:t xml:space="preserve">. </w:t>
      </w:r>
      <w:r w:rsidR="00035AC9" w:rsidRPr="00A35026">
        <w:rPr>
          <w:rFonts w:ascii="Trebuchet MS" w:hAnsi="Trebuchet MS" w:cs="Arial"/>
          <w:color w:val="222222"/>
          <w:lang w:eastAsia="fr-FR"/>
        </w:rPr>
        <w:t>La quasi-totalité de l</w:t>
      </w:r>
      <w:r w:rsidR="00EA4AE7" w:rsidRPr="00A35026">
        <w:rPr>
          <w:rFonts w:ascii="Trebuchet MS" w:hAnsi="Trebuchet MS" w:cs="Arial"/>
          <w:color w:val="222222"/>
          <w:lang w:eastAsia="fr-FR"/>
        </w:rPr>
        <w:t>'</w:t>
      </w:r>
      <w:r w:rsidR="00035AC9" w:rsidRPr="00A35026">
        <w:rPr>
          <w:rFonts w:ascii="Trebuchet MS" w:hAnsi="Trebuchet MS" w:cs="Arial"/>
          <w:color w:val="222222"/>
          <w:lang w:eastAsia="fr-FR"/>
        </w:rPr>
        <w:t xml:space="preserve">énergie </w:t>
      </w:r>
      <w:r w:rsidR="00EA4AE7" w:rsidRPr="00A35026">
        <w:rPr>
          <w:rFonts w:ascii="Trebuchet MS" w:hAnsi="Trebuchet MS" w:cs="Arial"/>
          <w:color w:val="222222"/>
          <w:lang w:eastAsia="fr-FR"/>
        </w:rPr>
        <w:t>électri</w:t>
      </w:r>
      <w:r w:rsidR="00FD1A02">
        <w:rPr>
          <w:rFonts w:ascii="Trebuchet MS" w:hAnsi="Trebuchet MS" w:cs="Arial"/>
          <w:color w:val="222222"/>
          <w:lang w:eastAsia="fr-FR"/>
        </w:rPr>
        <w:t xml:space="preserve">que </w:t>
      </w:r>
      <w:r w:rsidR="00035AC9" w:rsidRPr="00A35026">
        <w:rPr>
          <w:rFonts w:ascii="Trebuchet MS" w:hAnsi="Trebuchet MS" w:cs="Arial"/>
          <w:color w:val="222222"/>
          <w:lang w:eastAsia="fr-FR"/>
        </w:rPr>
        <w:t xml:space="preserve">offerte </w:t>
      </w:r>
      <w:r w:rsidR="00EA4AE7" w:rsidRPr="00A35026">
        <w:rPr>
          <w:rFonts w:ascii="Trebuchet MS" w:hAnsi="Trebuchet MS" w:cs="Arial"/>
          <w:color w:val="222222"/>
          <w:lang w:eastAsia="fr-FR"/>
        </w:rPr>
        <w:t>dans le pays est en grande partie satisfaite par les approvisionnements externes</w:t>
      </w:r>
      <w:r w:rsidR="00035AC9" w:rsidRPr="00A35026">
        <w:rPr>
          <w:rFonts w:ascii="Trebuchet MS" w:hAnsi="Trebuchet MS" w:cs="Arial"/>
          <w:color w:val="222222"/>
          <w:lang w:eastAsia="fr-FR"/>
        </w:rPr>
        <w:t>. En effet,</w:t>
      </w:r>
      <w:r w:rsidR="00EA4AE7" w:rsidRPr="00A35026">
        <w:rPr>
          <w:rFonts w:ascii="Trebuchet MS" w:hAnsi="Trebuchet MS" w:cs="Arial"/>
          <w:color w:val="222222"/>
          <w:lang w:eastAsia="fr-FR"/>
        </w:rPr>
        <w:t xml:space="preserve"> 98% de l'énergie</w:t>
      </w:r>
      <w:r w:rsidR="00035AC9" w:rsidRPr="00A35026">
        <w:rPr>
          <w:rFonts w:ascii="Trebuchet MS" w:hAnsi="Trebuchet MS" w:cs="Arial"/>
          <w:color w:val="222222"/>
          <w:lang w:eastAsia="fr-FR"/>
        </w:rPr>
        <w:t xml:space="preserve"> distribuée par la SBEE en 2014 provient de l’extérieur.</w:t>
      </w:r>
    </w:p>
    <w:p w:rsidR="002F157E" w:rsidRPr="00A35026" w:rsidRDefault="00CC27D4" w:rsidP="000C0486">
      <w:pPr>
        <w:jc w:val="both"/>
        <w:rPr>
          <w:rFonts w:ascii="Trebuchet MS" w:hAnsi="Trebuchet MS" w:cs="Arial"/>
          <w:color w:val="222222"/>
          <w:lang w:eastAsia="fr-FR"/>
        </w:rPr>
      </w:pPr>
      <w:r w:rsidRPr="00A35026">
        <w:rPr>
          <w:rFonts w:ascii="Trebuchet MS" w:hAnsi="Trebuchet MS" w:cs="Arial"/>
          <w:color w:val="222222"/>
          <w:lang w:eastAsia="fr-FR"/>
        </w:rPr>
        <w:t>Afin de combler ce déficit et de s’affranchir de la dépendance énergétique du Bénin vis-à-vis de l’extérieur, d</w:t>
      </w:r>
      <w:r w:rsidR="000346DF" w:rsidRPr="00A35026">
        <w:rPr>
          <w:rFonts w:ascii="Trebuchet MS" w:hAnsi="Trebuchet MS" w:cs="Arial"/>
          <w:color w:val="222222"/>
          <w:lang w:eastAsia="fr-FR"/>
        </w:rPr>
        <w:t>es investissements substantiels ont été réalisés ces dernières années. Ces investissements visent non seulement à accroitre l’offre d’énergie électrique mais également à promouvoir des sources d’énergie renouvelables</w:t>
      </w:r>
      <w:r w:rsidR="00D07C00" w:rsidRPr="00A35026">
        <w:rPr>
          <w:rFonts w:ascii="Trebuchet MS" w:hAnsi="Trebuchet MS" w:cs="Arial"/>
          <w:color w:val="222222"/>
          <w:lang w:eastAsia="fr-FR"/>
        </w:rPr>
        <w:t>, notamment l’énergie</w:t>
      </w:r>
      <w:r w:rsidR="000346DF" w:rsidRPr="00A35026">
        <w:rPr>
          <w:rFonts w:ascii="Trebuchet MS" w:hAnsi="Trebuchet MS" w:cs="Arial"/>
          <w:color w:val="222222"/>
          <w:lang w:eastAsia="fr-FR"/>
        </w:rPr>
        <w:t xml:space="preserve"> solaire</w:t>
      </w:r>
      <w:r w:rsidRPr="00A35026">
        <w:rPr>
          <w:rFonts w:ascii="Trebuchet MS" w:hAnsi="Trebuchet MS" w:cs="Arial"/>
          <w:color w:val="222222"/>
          <w:lang w:eastAsia="fr-FR"/>
        </w:rPr>
        <w:t xml:space="preserve">. </w:t>
      </w:r>
    </w:p>
    <w:p w:rsidR="004871B3" w:rsidRPr="00A35026" w:rsidRDefault="002F157E" w:rsidP="002F157E">
      <w:pPr>
        <w:jc w:val="both"/>
        <w:rPr>
          <w:rFonts w:ascii="Trebuchet MS" w:hAnsi="Trebuchet MS"/>
        </w:rPr>
      </w:pPr>
      <w:r w:rsidRPr="00A35026">
        <w:rPr>
          <w:rFonts w:ascii="Trebuchet MS" w:hAnsi="Trebuchet MS" w:cs="Arial"/>
          <w:color w:val="222222"/>
          <w:lang w:eastAsia="fr-FR"/>
        </w:rPr>
        <w:t>Après le premier compact du Millenium Challenge Account</w:t>
      </w:r>
      <w:r w:rsidR="00D07897" w:rsidRPr="00A35026">
        <w:rPr>
          <w:rFonts w:ascii="Trebuchet MS" w:hAnsi="Trebuchet MS" w:cs="Arial"/>
          <w:color w:val="222222"/>
          <w:lang w:eastAsia="fr-FR"/>
        </w:rPr>
        <w:t xml:space="preserve"> (MCA)</w:t>
      </w:r>
      <w:r w:rsidRPr="00A35026">
        <w:rPr>
          <w:rFonts w:ascii="Trebuchet MS" w:hAnsi="Trebuchet MS" w:cs="Arial"/>
          <w:color w:val="222222"/>
          <w:lang w:eastAsia="fr-FR"/>
        </w:rPr>
        <w:t xml:space="preserve"> qui </w:t>
      </w:r>
      <w:r w:rsidRPr="00A35026">
        <w:rPr>
          <w:rFonts w:ascii="Trebuchet MS" w:hAnsi="Trebuchet MS"/>
        </w:rPr>
        <w:t>a été marqué par des réalisations dans les secteurs de la micro finance,</w:t>
      </w:r>
      <w:r w:rsidR="007F58B8" w:rsidRPr="00A35026">
        <w:rPr>
          <w:rFonts w:ascii="Trebuchet MS" w:hAnsi="Trebuchet MS"/>
        </w:rPr>
        <w:t xml:space="preserve"> de</w:t>
      </w:r>
      <w:r w:rsidRPr="00A35026">
        <w:rPr>
          <w:rFonts w:ascii="Trebuchet MS" w:hAnsi="Trebuchet MS"/>
        </w:rPr>
        <w:t xml:space="preserve"> la justice, </w:t>
      </w:r>
      <w:r w:rsidR="007F58B8" w:rsidRPr="00A35026">
        <w:rPr>
          <w:rFonts w:ascii="Trebuchet MS" w:hAnsi="Trebuchet MS"/>
        </w:rPr>
        <w:t>du foncier et du Port Autonome de Cotonou</w:t>
      </w:r>
      <w:r w:rsidR="00D07897" w:rsidRPr="00A35026">
        <w:rPr>
          <w:rFonts w:ascii="Trebuchet MS" w:hAnsi="Trebuchet MS"/>
        </w:rPr>
        <w:t>, le</w:t>
      </w:r>
      <w:r w:rsidRPr="00A35026">
        <w:rPr>
          <w:rFonts w:ascii="Trebuchet MS" w:hAnsi="Trebuchet MS"/>
        </w:rPr>
        <w:t xml:space="preserve"> Bénin a obtenu du M</w:t>
      </w:r>
      <w:r w:rsidR="00D07897" w:rsidRPr="00A35026">
        <w:rPr>
          <w:rFonts w:ascii="Trebuchet MS" w:hAnsi="Trebuchet MS"/>
        </w:rPr>
        <w:t xml:space="preserve">illenium </w:t>
      </w:r>
      <w:r w:rsidRPr="00A35026">
        <w:rPr>
          <w:rFonts w:ascii="Trebuchet MS" w:hAnsi="Trebuchet MS"/>
        </w:rPr>
        <w:t>C</w:t>
      </w:r>
      <w:r w:rsidR="00D07897" w:rsidRPr="00A35026">
        <w:rPr>
          <w:rFonts w:ascii="Trebuchet MS" w:hAnsi="Trebuchet MS"/>
        </w:rPr>
        <w:t xml:space="preserve">hallenge </w:t>
      </w:r>
      <w:r w:rsidRPr="00A35026">
        <w:rPr>
          <w:rFonts w:ascii="Trebuchet MS" w:hAnsi="Trebuchet MS"/>
        </w:rPr>
        <w:t>C</w:t>
      </w:r>
      <w:r w:rsidR="00D07897" w:rsidRPr="00A35026">
        <w:rPr>
          <w:rFonts w:ascii="Trebuchet MS" w:hAnsi="Trebuchet MS"/>
        </w:rPr>
        <w:t>orporation (MCC)</w:t>
      </w:r>
      <w:r w:rsidRPr="00A35026">
        <w:rPr>
          <w:rFonts w:ascii="Trebuchet MS" w:hAnsi="Trebuchet MS"/>
        </w:rPr>
        <w:t xml:space="preserve"> l</w:t>
      </w:r>
      <w:r w:rsidR="00D07897" w:rsidRPr="00A35026">
        <w:rPr>
          <w:rFonts w:ascii="Trebuchet MS" w:hAnsi="Trebuchet MS"/>
        </w:rPr>
        <w:t xml:space="preserve">’éligibilité pour un </w:t>
      </w:r>
      <w:r w:rsidRPr="00A35026">
        <w:rPr>
          <w:rFonts w:ascii="Trebuchet MS" w:hAnsi="Trebuchet MS"/>
        </w:rPr>
        <w:t>second compact</w:t>
      </w:r>
      <w:r w:rsidR="00D07897" w:rsidRPr="00A35026">
        <w:rPr>
          <w:rFonts w:ascii="Trebuchet MS" w:hAnsi="Trebuchet MS"/>
        </w:rPr>
        <w:t xml:space="preserve">. </w:t>
      </w:r>
      <w:r w:rsidRPr="00A35026">
        <w:rPr>
          <w:rFonts w:ascii="Trebuchet MS" w:hAnsi="Trebuchet MS"/>
        </w:rPr>
        <w:t xml:space="preserve">Ce compact prévoit de </w:t>
      </w:r>
      <w:r w:rsidR="00141CC5" w:rsidRPr="00A35026">
        <w:rPr>
          <w:rFonts w:ascii="Trebuchet MS" w:hAnsi="Trebuchet MS"/>
        </w:rPr>
        <w:t xml:space="preserve">concentrer les interventions sur le secteur de l’énergie à travers l’amélioration de l’offre d’électricité, le renforcement et la modernisation du réseau de distribution et l’appui à la mise en place de diverses réformes. </w:t>
      </w:r>
      <w:r w:rsidR="00223572" w:rsidRPr="00A35026">
        <w:rPr>
          <w:rFonts w:ascii="Trebuchet MS" w:hAnsi="Trebuchet MS"/>
        </w:rPr>
        <w:t xml:space="preserve">Mais la décision de financement de projets par le MCC reste soutenue par des études pertinentes qui attestent de leur faisabilité et de leur rentabilité. Des travaux d’évaluation de la rentabilité économique du projet ont donc été initiés. </w:t>
      </w:r>
      <w:r w:rsidR="00F56332" w:rsidRPr="00A35026">
        <w:rPr>
          <w:rFonts w:ascii="Trebuchet MS" w:hAnsi="Trebuchet MS"/>
        </w:rPr>
        <w:t xml:space="preserve">Il s’agissait en effet, d’évaluer les bénéfices nets actualisés que générera le projet. Les travaux de ce type sont très exigeants en données </w:t>
      </w:r>
      <w:r w:rsidR="004871B3" w:rsidRPr="00A35026">
        <w:rPr>
          <w:rFonts w:ascii="Trebuchet MS" w:hAnsi="Trebuchet MS"/>
        </w:rPr>
        <w:t xml:space="preserve">statistiques. </w:t>
      </w:r>
    </w:p>
    <w:p w:rsidR="002F157E" w:rsidRPr="00A35026" w:rsidRDefault="00CB5663" w:rsidP="002F157E">
      <w:pPr>
        <w:spacing w:before="240"/>
        <w:jc w:val="both"/>
        <w:rPr>
          <w:rFonts w:ascii="Trebuchet MS" w:hAnsi="Trebuchet MS"/>
        </w:rPr>
      </w:pPr>
      <w:r w:rsidRPr="00A35026">
        <w:rPr>
          <w:rFonts w:ascii="Trebuchet MS" w:hAnsi="Trebuchet MS"/>
        </w:rPr>
        <w:t xml:space="preserve">L’Enquête sur la Consommation d’Electricité au Bénin (ECEB) a été </w:t>
      </w:r>
      <w:r w:rsidR="00F32338" w:rsidRPr="00A35026">
        <w:rPr>
          <w:rFonts w:ascii="Trebuchet MS" w:hAnsi="Trebuchet MS"/>
        </w:rPr>
        <w:t>initiée</w:t>
      </w:r>
      <w:r w:rsidRPr="00A35026">
        <w:rPr>
          <w:rFonts w:ascii="Trebuchet MS" w:hAnsi="Trebuchet MS"/>
        </w:rPr>
        <w:t xml:space="preserve"> pour répondre aux besoins en données nécessaires pour l’évaluation de la rentabilité du projet. </w:t>
      </w:r>
      <w:r w:rsidR="00E2116C" w:rsidRPr="00A35026">
        <w:rPr>
          <w:rFonts w:ascii="Trebuchet MS" w:hAnsi="Trebuchet MS"/>
        </w:rPr>
        <w:t xml:space="preserve">Cetteenquête vise à mieux cerner </w:t>
      </w:r>
      <w:r w:rsidR="004871B3" w:rsidRPr="00A35026">
        <w:rPr>
          <w:rFonts w:ascii="Trebuchet MS" w:hAnsi="Trebuchet MS"/>
        </w:rPr>
        <w:t xml:space="preserve">le comportement des ménages en ce qui concerne </w:t>
      </w:r>
      <w:r w:rsidR="00185DA5" w:rsidRPr="00A35026">
        <w:rPr>
          <w:rFonts w:ascii="Trebuchet MS" w:hAnsi="Trebuchet MS"/>
        </w:rPr>
        <w:t xml:space="preserve">la consommation d’électricité et à </w:t>
      </w:r>
      <w:r w:rsidR="002F157E" w:rsidRPr="00A35026">
        <w:rPr>
          <w:rFonts w:ascii="Trebuchet MS" w:hAnsi="Trebuchet MS"/>
        </w:rPr>
        <w:t>évaluer l</w:t>
      </w:r>
      <w:r w:rsidR="00185DA5" w:rsidRPr="00A35026">
        <w:rPr>
          <w:rFonts w:ascii="Trebuchet MS" w:hAnsi="Trebuchet MS"/>
        </w:rPr>
        <w:t xml:space="preserve">eur </w:t>
      </w:r>
      <w:r w:rsidR="002F157E" w:rsidRPr="00A35026">
        <w:rPr>
          <w:rFonts w:ascii="Trebuchet MS" w:hAnsi="Trebuchet MS"/>
        </w:rPr>
        <w:t>volonté et l</w:t>
      </w:r>
      <w:r w:rsidR="00185DA5" w:rsidRPr="00A35026">
        <w:rPr>
          <w:rFonts w:ascii="Trebuchet MS" w:hAnsi="Trebuchet MS"/>
        </w:rPr>
        <w:t xml:space="preserve">eur </w:t>
      </w:r>
      <w:r w:rsidR="002F157E" w:rsidRPr="00A35026">
        <w:rPr>
          <w:rFonts w:ascii="Trebuchet MS" w:hAnsi="Trebuchet MS"/>
        </w:rPr>
        <w:t xml:space="preserve">capacité à payer pour disposer d’une énergie de qualité. </w:t>
      </w:r>
    </w:p>
    <w:p w:rsidR="002F157E" w:rsidRPr="00A35026" w:rsidRDefault="00FB1195" w:rsidP="002F157E">
      <w:pPr>
        <w:jc w:val="both"/>
        <w:rPr>
          <w:rFonts w:ascii="Trebuchet MS" w:hAnsi="Trebuchet MS" w:cs="Arial"/>
          <w:color w:val="222222"/>
          <w:lang w:eastAsia="fr-FR"/>
        </w:rPr>
      </w:pPr>
      <w:r>
        <w:rPr>
          <w:rFonts w:ascii="Trebuchet MS" w:hAnsi="Trebuchet MS" w:cs="Arial"/>
          <w:color w:val="222222"/>
          <w:lang w:eastAsia="fr-FR"/>
        </w:rPr>
        <w:t xml:space="preserve">Ce rapport présente les résultats issus des données collectées. </w:t>
      </w:r>
      <w:r w:rsidR="00003AFC">
        <w:rPr>
          <w:rFonts w:ascii="Trebuchet MS" w:hAnsi="Trebuchet MS" w:cs="Arial"/>
          <w:color w:val="222222"/>
          <w:lang w:eastAsia="fr-FR"/>
        </w:rPr>
        <w:t xml:space="preserve">Il est structuré en quatre chapitres. </w:t>
      </w:r>
      <w:r w:rsidR="00E12539">
        <w:rPr>
          <w:rFonts w:ascii="Trebuchet MS" w:hAnsi="Trebuchet MS" w:cs="Arial"/>
          <w:color w:val="222222"/>
          <w:lang w:eastAsia="fr-FR"/>
        </w:rPr>
        <w:t xml:space="preserve">Le premier traite des </w:t>
      </w:r>
      <w:r w:rsidR="00AF09EC">
        <w:rPr>
          <w:rFonts w:ascii="Trebuchet MS" w:hAnsi="Trebuchet MS" w:cs="Arial"/>
          <w:color w:val="222222"/>
          <w:lang w:eastAsia="fr-FR"/>
        </w:rPr>
        <w:t xml:space="preserve">caractéristiques sociodémographiques des ménages enquêtés. Il aide à mieux comprendre certains comportements de consommation. L’utilisation que font les ménages des différentes sources est abordée dans le second chapitre, de même que leur adéquation avec les besoins. </w:t>
      </w:r>
      <w:r w:rsidR="00B96351">
        <w:rPr>
          <w:rFonts w:ascii="Trebuchet MS" w:hAnsi="Trebuchet MS" w:cs="Arial"/>
          <w:color w:val="222222"/>
          <w:lang w:eastAsia="fr-FR"/>
        </w:rPr>
        <w:t xml:space="preserve">Le troisième chapitre quant à lui présente non seulement les conditions dans lesquelles les ménages ont accès à l’électricité, mais aussi les opinions des ménages sur la qualité des services de la SBEE. Enfin, le dernier chapitre </w:t>
      </w:r>
      <w:r w:rsidR="009666AA">
        <w:rPr>
          <w:rFonts w:ascii="Trebuchet MS" w:hAnsi="Trebuchet MS" w:cs="Arial"/>
          <w:color w:val="222222"/>
          <w:lang w:eastAsia="fr-FR"/>
        </w:rPr>
        <w:t>cherche à évaluer la propension des ménages à payer pour disposer d’une énergie de qualité.</w:t>
      </w:r>
    </w:p>
    <w:p w:rsidR="00FF1C88" w:rsidRDefault="00FF1C88" w:rsidP="00290CE9">
      <w:pPr>
        <w:spacing w:after="0"/>
        <w:rPr>
          <w:rFonts w:ascii="Trebuchet MS" w:hAnsi="Trebuchet MS"/>
        </w:rPr>
      </w:pPr>
      <w:bookmarkStart w:id="39" w:name="_Toc403929799"/>
      <w:bookmarkStart w:id="40" w:name="_Toc403933508"/>
      <w:bookmarkStart w:id="41" w:name="_Toc421805405"/>
      <w:bookmarkStart w:id="42" w:name="_Toc421806958"/>
    </w:p>
    <w:p w:rsidR="00FF1C88" w:rsidRPr="0072397D" w:rsidRDefault="00FF1C88" w:rsidP="00290CE9">
      <w:pPr>
        <w:spacing w:after="0"/>
        <w:rPr>
          <w:rFonts w:ascii="Trebuchet MS" w:hAnsi="Trebuchet MS"/>
        </w:rPr>
      </w:pPr>
    </w:p>
    <w:p w:rsidR="00FF1C88" w:rsidRPr="0072397D" w:rsidRDefault="00FF1C88" w:rsidP="00290CE9">
      <w:pPr>
        <w:spacing w:after="0"/>
        <w:rPr>
          <w:rFonts w:ascii="Trebuchet MS" w:hAnsi="Trebuchet MS"/>
        </w:rPr>
        <w:sectPr w:rsidR="00FF1C88" w:rsidRPr="0072397D" w:rsidSect="00954A90">
          <w:pgSz w:w="11906" w:h="16838"/>
          <w:pgMar w:top="1135" w:right="1417" w:bottom="851" w:left="1417" w:header="708" w:footer="0" w:gutter="0"/>
          <w:cols w:space="708"/>
          <w:docGrid w:linePitch="360"/>
        </w:sectPr>
      </w:pPr>
    </w:p>
    <w:p w:rsidR="00B811FE" w:rsidRPr="00AB473E" w:rsidRDefault="00B811FE" w:rsidP="000F50F6">
      <w:pPr>
        <w:pStyle w:val="Titre2"/>
      </w:pPr>
      <w:bookmarkStart w:id="43" w:name="_Toc425961625"/>
      <w:bookmarkStart w:id="44" w:name="_Toc426359389"/>
      <w:bookmarkStart w:id="45" w:name="_Toc426359419"/>
      <w:bookmarkStart w:id="46" w:name="_Toc403933514"/>
      <w:bookmarkStart w:id="47" w:name="_Toc421805410"/>
      <w:bookmarkStart w:id="48" w:name="_Toc421806963"/>
      <w:bookmarkEnd w:id="39"/>
      <w:bookmarkEnd w:id="40"/>
      <w:bookmarkEnd w:id="41"/>
      <w:bookmarkEnd w:id="42"/>
      <w:r w:rsidRPr="00AB473E">
        <w:t xml:space="preserve">CHAPITRE </w:t>
      </w:r>
      <w:r w:rsidR="00025637" w:rsidRPr="00AB473E">
        <w:t>1</w:t>
      </w:r>
      <w:r w:rsidRPr="00AB473E">
        <w:t> : CARACTERISTIQUES SOCIO-DEMOGRAPHIQUES DES MENAGES</w:t>
      </w:r>
      <w:r w:rsidR="00433455" w:rsidRPr="00AB473E">
        <w:t xml:space="preserve"> ENQUETES</w:t>
      </w:r>
      <w:bookmarkEnd w:id="43"/>
      <w:bookmarkEnd w:id="44"/>
      <w:bookmarkEnd w:id="45"/>
    </w:p>
    <w:p w:rsidR="00B811FE" w:rsidRPr="0072397D" w:rsidRDefault="00B811FE" w:rsidP="006D4294">
      <w:pPr>
        <w:rPr>
          <w:rFonts w:ascii="Trebuchet MS" w:hAnsi="Trebuchet MS"/>
        </w:rPr>
      </w:pPr>
    </w:p>
    <w:p w:rsidR="00172183" w:rsidRPr="00172183" w:rsidRDefault="00172183" w:rsidP="00172183">
      <w:pPr>
        <w:keepNext/>
        <w:framePr w:dropCap="drop" w:lines="3" w:wrap="around" w:vAnchor="text" w:hAnchor="text"/>
        <w:spacing w:after="0" w:line="881" w:lineRule="exact"/>
        <w:jc w:val="both"/>
        <w:textAlignment w:val="baseline"/>
        <w:rPr>
          <w:rFonts w:ascii="Trebuchet MS" w:hAnsi="Trebuchet MS"/>
          <w:position w:val="-9"/>
          <w:sz w:val="105"/>
        </w:rPr>
      </w:pPr>
      <w:bookmarkStart w:id="49" w:name="_Toc403929800"/>
      <w:bookmarkStart w:id="50" w:name="_Toc403933509"/>
      <w:bookmarkStart w:id="51" w:name="_Toc421805409"/>
      <w:bookmarkStart w:id="52" w:name="_Toc421806962"/>
      <w:r w:rsidRPr="00172183">
        <w:rPr>
          <w:rFonts w:ascii="Trebuchet MS" w:hAnsi="Trebuchet MS"/>
          <w:position w:val="-9"/>
          <w:sz w:val="105"/>
        </w:rPr>
        <w:t>P</w:t>
      </w:r>
    </w:p>
    <w:p w:rsidR="00427F42" w:rsidRDefault="00376BEB" w:rsidP="006D4294">
      <w:pPr>
        <w:jc w:val="both"/>
        <w:rPr>
          <w:rFonts w:ascii="Trebuchet MS" w:hAnsi="Trebuchet MS"/>
        </w:rPr>
      </w:pPr>
      <w:r>
        <w:rPr>
          <w:rFonts w:ascii="Trebuchet MS" w:hAnsi="Trebuchet MS"/>
        </w:rPr>
        <w:t xml:space="preserve">our mieux comprendre le comportement des ménages en ce qui concerne la consommation de l’électricité au Bénin, il est indispensable d’avoir des informations détaillées sur leurs caractéristiques sociodémographiques et économiques. </w:t>
      </w:r>
      <w:r w:rsidR="00A15C6F">
        <w:rPr>
          <w:rFonts w:ascii="Trebuchet MS" w:hAnsi="Trebuchet MS"/>
        </w:rPr>
        <w:t xml:space="preserve">Ce chapitre vient répondre à cette exigence en fournissant </w:t>
      </w:r>
      <w:r>
        <w:rPr>
          <w:rFonts w:ascii="Trebuchet MS" w:hAnsi="Trebuchet MS"/>
        </w:rPr>
        <w:t xml:space="preserve">des </w:t>
      </w:r>
      <w:r w:rsidR="00A15C6F">
        <w:rPr>
          <w:rFonts w:ascii="Trebuchet MS" w:hAnsi="Trebuchet MS"/>
        </w:rPr>
        <w:t>précisions sur les effectifs et la composition des ménages</w:t>
      </w:r>
      <w:r w:rsidR="006F18FD">
        <w:rPr>
          <w:rFonts w:ascii="Trebuchet MS" w:hAnsi="Trebuchet MS"/>
        </w:rPr>
        <w:t xml:space="preserve"> ainsi que sur les caractéristiques des chefs de ménages liées à leur âge, leur sexe, leur niveau d’instruction, leur </w:t>
      </w:r>
      <w:r w:rsidR="005A3AD1">
        <w:rPr>
          <w:rFonts w:ascii="Trebuchet MS" w:hAnsi="Trebuchet MS"/>
        </w:rPr>
        <w:t>religion et à leur situation d’activité.</w:t>
      </w:r>
    </w:p>
    <w:p w:rsidR="00E10612" w:rsidRPr="006D4294" w:rsidRDefault="00E10612" w:rsidP="006D4294">
      <w:pPr>
        <w:jc w:val="both"/>
        <w:rPr>
          <w:rFonts w:ascii="Trebuchet MS" w:hAnsi="Trebuchet MS"/>
        </w:rPr>
      </w:pPr>
      <w:r>
        <w:rPr>
          <w:rFonts w:ascii="Trebuchet MS" w:hAnsi="Trebuchet MS"/>
        </w:rPr>
        <w:t>Les caractéristiques des logements occupés par les ménages sont également présentées dans ce chapitre. Ces caractéristiques ont trait au type de logement, à la nature du sol, du mur et de la toiture des logements. Le statut de propriété des logements y est aussi abordé.</w:t>
      </w:r>
    </w:p>
    <w:p w:rsidR="00B811FE" w:rsidRPr="00ED119D" w:rsidRDefault="00EE3E92" w:rsidP="00D02C71">
      <w:pPr>
        <w:pStyle w:val="Titre3"/>
        <w:rPr>
          <w:szCs w:val="24"/>
        </w:rPr>
      </w:pPr>
      <w:hyperlink w:anchor="_Toc347429977" w:history="1">
        <w:bookmarkStart w:id="53" w:name="_Toc425961626"/>
        <w:bookmarkStart w:id="54" w:name="_Toc426359390"/>
        <w:bookmarkStart w:id="55" w:name="_Toc426359420"/>
        <w:r w:rsidR="00B811FE" w:rsidRPr="00ED119D">
          <w:t>Structure des ménages par sexe et par âge du chef de ménage</w:t>
        </w:r>
        <w:bookmarkEnd w:id="53"/>
        <w:bookmarkEnd w:id="54"/>
        <w:bookmarkEnd w:id="55"/>
        <w:r w:rsidR="00B811FE" w:rsidRPr="00ED119D">
          <w:rPr>
            <w:webHidden/>
            <w:szCs w:val="24"/>
          </w:rPr>
          <w:tab/>
        </w:r>
      </w:hyperlink>
    </w:p>
    <w:p w:rsidR="00F57BAA" w:rsidRPr="00ED119D" w:rsidRDefault="00F57BAA" w:rsidP="00F03E08">
      <w:pPr>
        <w:pStyle w:val="Titre4"/>
        <w:numPr>
          <w:ilvl w:val="2"/>
          <w:numId w:val="6"/>
        </w:numPr>
      </w:pPr>
      <w:bookmarkStart w:id="56" w:name="_Toc425961627"/>
      <w:bookmarkStart w:id="57" w:name="_Toc426359421"/>
      <w:r w:rsidRPr="00ED119D">
        <w:t>Structure des ménages suivant le</w:t>
      </w:r>
      <w:r w:rsidR="00541D8F" w:rsidRPr="00ED119D">
        <w:t xml:space="preserve"> département</w:t>
      </w:r>
      <w:r w:rsidRPr="00ED119D">
        <w:t xml:space="preserve"> et le milieu de résidence</w:t>
      </w:r>
      <w:bookmarkEnd w:id="56"/>
      <w:bookmarkEnd w:id="57"/>
    </w:p>
    <w:p w:rsidR="008771B1" w:rsidRDefault="00B811FE" w:rsidP="00DE6BA4">
      <w:pPr>
        <w:jc w:val="both"/>
        <w:rPr>
          <w:rFonts w:ascii="Trebuchet MS" w:hAnsi="Trebuchet MS"/>
        </w:rPr>
      </w:pPr>
      <w:r w:rsidRPr="0072397D">
        <w:rPr>
          <w:rFonts w:ascii="Trebuchet MS" w:hAnsi="Trebuchet MS"/>
        </w:rPr>
        <w:t xml:space="preserve">Dans </w:t>
      </w:r>
      <w:r w:rsidR="008771B1">
        <w:rPr>
          <w:rFonts w:ascii="Trebuchet MS" w:hAnsi="Trebuchet MS"/>
        </w:rPr>
        <w:t>la répartition des ménages enquêtés par département</w:t>
      </w:r>
      <w:r w:rsidRPr="0072397D">
        <w:rPr>
          <w:rFonts w:ascii="Trebuchet MS" w:hAnsi="Trebuchet MS"/>
        </w:rPr>
        <w:t>, l</w:t>
      </w:r>
      <w:r w:rsidR="008771B1">
        <w:rPr>
          <w:rFonts w:ascii="Trebuchet MS" w:hAnsi="Trebuchet MS"/>
        </w:rPr>
        <w:t xml:space="preserve">a plus forte proportion </w:t>
      </w:r>
      <w:r w:rsidRPr="0072397D">
        <w:rPr>
          <w:rFonts w:ascii="Trebuchet MS" w:hAnsi="Trebuchet MS"/>
        </w:rPr>
        <w:t>se note au niveau du département des Collines (12,8%). Ce</w:t>
      </w:r>
      <w:r w:rsidR="008771B1">
        <w:rPr>
          <w:rFonts w:ascii="Trebuchet MS" w:hAnsi="Trebuchet MS"/>
        </w:rPr>
        <w:t>tte proportion</w:t>
      </w:r>
      <w:r w:rsidRPr="0072397D">
        <w:rPr>
          <w:rFonts w:ascii="Trebuchet MS" w:hAnsi="Trebuchet MS"/>
        </w:rPr>
        <w:t xml:space="preserve"> est par contre relativement plus faible dans le département du Plateau (3,</w:t>
      </w:r>
      <w:r w:rsidR="008771B1">
        <w:rPr>
          <w:rFonts w:ascii="Trebuchet MS" w:hAnsi="Trebuchet MS"/>
        </w:rPr>
        <w:t>8</w:t>
      </w:r>
      <w:r w:rsidRPr="0072397D">
        <w:rPr>
          <w:rFonts w:ascii="Trebuchet MS" w:hAnsi="Trebuchet MS"/>
        </w:rPr>
        <w:t>%).</w:t>
      </w:r>
      <w:r w:rsidR="008771B1">
        <w:rPr>
          <w:rFonts w:ascii="Trebuchet MS" w:hAnsi="Trebuchet MS"/>
        </w:rPr>
        <w:t xml:space="preserve"> L’analyse selon le milieu  de résidence révèle quelques disparités.</w:t>
      </w:r>
    </w:p>
    <w:p w:rsidR="00B811FE" w:rsidRPr="0072397D" w:rsidRDefault="008771B1" w:rsidP="00DE6BA4">
      <w:pPr>
        <w:jc w:val="both"/>
        <w:rPr>
          <w:rFonts w:ascii="Trebuchet MS" w:hAnsi="Trebuchet MS"/>
        </w:rPr>
      </w:pPr>
      <w:r>
        <w:rPr>
          <w:rFonts w:ascii="Trebuchet MS" w:hAnsi="Trebuchet MS"/>
        </w:rPr>
        <w:t xml:space="preserve">Dans les zones urbaines, </w:t>
      </w:r>
      <w:r w:rsidR="00B811FE" w:rsidRPr="0072397D">
        <w:rPr>
          <w:rFonts w:ascii="Trebuchet MS" w:hAnsi="Trebuchet MS"/>
        </w:rPr>
        <w:t>les départements où sont enregistré</w:t>
      </w:r>
      <w:r>
        <w:rPr>
          <w:rFonts w:ascii="Trebuchet MS" w:hAnsi="Trebuchet MS"/>
        </w:rPr>
        <w:t>e</w:t>
      </w:r>
      <w:r w:rsidR="00B811FE" w:rsidRPr="0072397D">
        <w:rPr>
          <w:rFonts w:ascii="Trebuchet MS" w:hAnsi="Trebuchet MS"/>
        </w:rPr>
        <w:t xml:space="preserve">s les </w:t>
      </w:r>
      <w:r>
        <w:rPr>
          <w:rFonts w:ascii="Trebuchet MS" w:hAnsi="Trebuchet MS"/>
        </w:rPr>
        <w:t>proportions</w:t>
      </w:r>
      <w:r w:rsidR="00B811FE" w:rsidRPr="0072397D">
        <w:rPr>
          <w:rFonts w:ascii="Trebuchet MS" w:hAnsi="Trebuchet MS"/>
        </w:rPr>
        <w:t xml:space="preserve"> les plus élevé</w:t>
      </w:r>
      <w:r>
        <w:rPr>
          <w:rFonts w:ascii="Trebuchet MS" w:hAnsi="Trebuchet MS"/>
        </w:rPr>
        <w:t>e</w:t>
      </w:r>
      <w:r w:rsidR="00B811FE" w:rsidRPr="0072397D">
        <w:rPr>
          <w:rFonts w:ascii="Trebuchet MS" w:hAnsi="Trebuchet MS"/>
        </w:rPr>
        <w:t>s des ménages</w:t>
      </w:r>
      <w:r>
        <w:rPr>
          <w:rFonts w:ascii="Trebuchet MS" w:hAnsi="Trebuchet MS"/>
        </w:rPr>
        <w:t xml:space="preserve"> enquêtés </w:t>
      </w:r>
      <w:r w:rsidR="00B811FE" w:rsidRPr="0072397D">
        <w:rPr>
          <w:rFonts w:ascii="Trebuchet MS" w:hAnsi="Trebuchet MS"/>
        </w:rPr>
        <w:t>sont le Littoral (</w:t>
      </w:r>
      <w:r>
        <w:rPr>
          <w:rFonts w:ascii="Trebuchet MS" w:hAnsi="Trebuchet MS"/>
        </w:rPr>
        <w:t>16,0</w:t>
      </w:r>
      <w:r w:rsidR="00B811FE" w:rsidRPr="0072397D">
        <w:rPr>
          <w:rFonts w:ascii="Trebuchet MS" w:hAnsi="Trebuchet MS"/>
        </w:rPr>
        <w:t>%) suivi par l’Atacora, le Borgou et l’Ouémé avec 12,1%, 11,</w:t>
      </w:r>
      <w:r>
        <w:rPr>
          <w:rFonts w:ascii="Trebuchet MS" w:hAnsi="Trebuchet MS"/>
        </w:rPr>
        <w:t>3</w:t>
      </w:r>
      <w:r w:rsidR="00B811FE" w:rsidRPr="0072397D">
        <w:rPr>
          <w:rFonts w:ascii="Trebuchet MS" w:hAnsi="Trebuchet MS"/>
        </w:rPr>
        <w:t>% et 10,</w:t>
      </w:r>
      <w:r>
        <w:rPr>
          <w:rFonts w:ascii="Trebuchet MS" w:hAnsi="Trebuchet MS"/>
        </w:rPr>
        <w:t>7</w:t>
      </w:r>
      <w:r w:rsidR="00B811FE" w:rsidRPr="0072397D">
        <w:rPr>
          <w:rFonts w:ascii="Trebuchet MS" w:hAnsi="Trebuchet MS"/>
        </w:rPr>
        <w:t>% respectivement. Les pourcentages les plus faibles sont enregistrés dans le Plateau (3,0%) et le Couffo (4,5%).</w:t>
      </w:r>
    </w:p>
    <w:p w:rsidR="00B811FE" w:rsidRDefault="00B811FE" w:rsidP="00025637">
      <w:pPr>
        <w:jc w:val="both"/>
        <w:rPr>
          <w:rFonts w:ascii="Trebuchet MS" w:hAnsi="Trebuchet MS"/>
        </w:rPr>
      </w:pPr>
      <w:r w:rsidRPr="0072397D">
        <w:rPr>
          <w:rFonts w:ascii="Trebuchet MS" w:hAnsi="Trebuchet MS"/>
        </w:rPr>
        <w:t xml:space="preserve">Dans les zones rurales, les départements où sont enregistrés les </w:t>
      </w:r>
      <w:r w:rsidR="008771B1">
        <w:rPr>
          <w:rFonts w:ascii="Trebuchet MS" w:hAnsi="Trebuchet MS"/>
        </w:rPr>
        <w:t>proportions</w:t>
      </w:r>
      <w:r w:rsidRPr="0072397D">
        <w:rPr>
          <w:rFonts w:ascii="Trebuchet MS" w:hAnsi="Trebuchet MS"/>
        </w:rPr>
        <w:t xml:space="preserve"> les plus élevé</w:t>
      </w:r>
      <w:r w:rsidR="008771B1">
        <w:rPr>
          <w:rFonts w:ascii="Trebuchet MS" w:hAnsi="Trebuchet MS"/>
        </w:rPr>
        <w:t>e</w:t>
      </w:r>
      <w:r w:rsidRPr="0072397D">
        <w:rPr>
          <w:rFonts w:ascii="Trebuchet MS" w:hAnsi="Trebuchet MS"/>
        </w:rPr>
        <w:t>s des</w:t>
      </w:r>
      <w:r w:rsidR="008771B1">
        <w:rPr>
          <w:rFonts w:ascii="Trebuchet MS" w:hAnsi="Trebuchet MS"/>
        </w:rPr>
        <w:t xml:space="preserve"> ménages sont les Collines (16,5</w:t>
      </w:r>
      <w:r w:rsidRPr="0072397D">
        <w:rPr>
          <w:rFonts w:ascii="Trebuchet MS" w:hAnsi="Trebuchet MS"/>
        </w:rPr>
        <w:t xml:space="preserve">%) suivi </w:t>
      </w:r>
      <w:r w:rsidR="008771B1">
        <w:rPr>
          <w:rFonts w:ascii="Trebuchet MS" w:hAnsi="Trebuchet MS"/>
        </w:rPr>
        <w:t>par le Zou et l’Ouémé avec 15,9% et 10,3</w:t>
      </w:r>
      <w:r w:rsidRPr="0072397D">
        <w:rPr>
          <w:rFonts w:ascii="Trebuchet MS" w:hAnsi="Trebuchet MS"/>
        </w:rPr>
        <w:t>% respectivement. En dehors du département du Littoral qui n’</w:t>
      </w:r>
      <w:r w:rsidR="008771B1">
        <w:rPr>
          <w:rFonts w:ascii="Trebuchet MS" w:hAnsi="Trebuchet MS"/>
        </w:rPr>
        <w:t xml:space="preserve">a </w:t>
      </w:r>
      <w:r w:rsidRPr="0072397D">
        <w:rPr>
          <w:rFonts w:ascii="Trebuchet MS" w:hAnsi="Trebuchet MS"/>
        </w:rPr>
        <w:t xml:space="preserve">d’ailleurs pas </w:t>
      </w:r>
      <w:r w:rsidR="00DE6BA4">
        <w:rPr>
          <w:rFonts w:ascii="Trebuchet MS" w:hAnsi="Trebuchet MS"/>
        </w:rPr>
        <w:t xml:space="preserve">de </w:t>
      </w:r>
      <w:r w:rsidR="008771B1">
        <w:rPr>
          <w:rFonts w:ascii="Trebuchet MS" w:hAnsi="Trebuchet MS"/>
        </w:rPr>
        <w:t xml:space="preserve">zones rurales, </w:t>
      </w:r>
      <w:r w:rsidRPr="0072397D">
        <w:rPr>
          <w:rFonts w:ascii="Trebuchet MS" w:hAnsi="Trebuchet MS"/>
        </w:rPr>
        <w:t xml:space="preserve">les </w:t>
      </w:r>
      <w:r w:rsidR="008771B1">
        <w:rPr>
          <w:rFonts w:ascii="Trebuchet MS" w:hAnsi="Trebuchet MS"/>
        </w:rPr>
        <w:t>proportions</w:t>
      </w:r>
      <w:r w:rsidRPr="0072397D">
        <w:rPr>
          <w:rFonts w:ascii="Trebuchet MS" w:hAnsi="Trebuchet MS"/>
        </w:rPr>
        <w:t xml:space="preserve"> les plus faibles des ménages dans les zones rurales sont </w:t>
      </w:r>
      <w:r w:rsidR="008771B1">
        <w:rPr>
          <w:rFonts w:ascii="Trebuchet MS" w:hAnsi="Trebuchet MS"/>
        </w:rPr>
        <w:t>enregistrées dans l’Atacora (3,8</w:t>
      </w:r>
      <w:r w:rsidRPr="0072397D">
        <w:rPr>
          <w:rFonts w:ascii="Trebuchet MS" w:hAnsi="Trebuchet MS"/>
        </w:rPr>
        <w:t>%) et le Plateau (4,</w:t>
      </w:r>
      <w:r w:rsidR="008771B1">
        <w:rPr>
          <w:rFonts w:ascii="Trebuchet MS" w:hAnsi="Trebuchet MS"/>
        </w:rPr>
        <w:t>3</w:t>
      </w:r>
      <w:r w:rsidRPr="0072397D">
        <w:rPr>
          <w:rFonts w:ascii="Trebuchet MS" w:hAnsi="Trebuchet MS"/>
        </w:rPr>
        <w:t>%).</w:t>
      </w:r>
    </w:p>
    <w:p w:rsidR="0077250D" w:rsidRDefault="00B91293" w:rsidP="0077250D">
      <w:pPr>
        <w:spacing w:after="0" w:line="240" w:lineRule="auto"/>
        <w:jc w:val="both"/>
        <w:rPr>
          <w:rFonts w:ascii="Trebuchet MS" w:hAnsi="Trebuchet MS"/>
        </w:rPr>
      </w:pPr>
      <w:bookmarkStart w:id="58" w:name="_Toc425955979"/>
      <w:bookmarkStart w:id="59" w:name="_Toc426359320"/>
      <w:r w:rsidRPr="00B91293">
        <w:rPr>
          <w:rFonts w:ascii="Trebuchet MS" w:hAnsi="Trebuchet MS"/>
          <w:b/>
          <w:sz w:val="20"/>
        </w:rPr>
        <w:t xml:space="preserve">Tableau </w:t>
      </w:r>
      <w:r w:rsidR="00792500" w:rsidRPr="00B91293">
        <w:rPr>
          <w:rFonts w:ascii="Trebuchet MS" w:hAnsi="Trebuchet MS"/>
          <w:b/>
          <w:sz w:val="20"/>
        </w:rPr>
        <w:fldChar w:fldCharType="begin"/>
      </w:r>
      <w:r w:rsidRPr="00B91293">
        <w:rPr>
          <w:rFonts w:ascii="Trebuchet MS" w:hAnsi="Trebuchet MS"/>
          <w:b/>
          <w:sz w:val="20"/>
        </w:rPr>
        <w:instrText xml:space="preserve"> SEQ Tableau \* ARABIC </w:instrText>
      </w:r>
      <w:r w:rsidR="00792500" w:rsidRPr="00B91293">
        <w:rPr>
          <w:rFonts w:ascii="Trebuchet MS" w:hAnsi="Trebuchet MS"/>
          <w:b/>
          <w:sz w:val="20"/>
        </w:rPr>
        <w:fldChar w:fldCharType="separate"/>
      </w:r>
      <w:r w:rsidR="00556962">
        <w:rPr>
          <w:rFonts w:ascii="Trebuchet MS" w:hAnsi="Trebuchet MS"/>
          <w:b/>
          <w:noProof/>
          <w:sz w:val="20"/>
        </w:rPr>
        <w:t>1</w:t>
      </w:r>
      <w:r w:rsidR="00792500" w:rsidRPr="00B91293">
        <w:rPr>
          <w:rFonts w:ascii="Trebuchet MS" w:hAnsi="Trebuchet MS"/>
          <w:b/>
          <w:sz w:val="20"/>
        </w:rPr>
        <w:fldChar w:fldCharType="end"/>
      </w:r>
      <w:r w:rsidRPr="00B91293">
        <w:rPr>
          <w:rFonts w:ascii="Trebuchet MS" w:hAnsi="Trebuchet MS"/>
          <w:b/>
          <w:color w:val="000000"/>
          <w:sz w:val="20"/>
        </w:rPr>
        <w:t>: Répartition (%) des ménages enquêtés suivant les départements et le milieu de résidence</w:t>
      </w:r>
      <w:bookmarkEnd w:id="58"/>
      <w:bookmarkEnd w:id="59"/>
    </w:p>
    <w:tbl>
      <w:tblPr>
        <w:tblW w:w="7366"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065"/>
        <w:gridCol w:w="1112"/>
        <w:gridCol w:w="1377"/>
        <w:gridCol w:w="1678"/>
        <w:gridCol w:w="1134"/>
      </w:tblGrid>
      <w:tr w:rsidR="00110A84" w:rsidRPr="0072397D" w:rsidTr="00110A84">
        <w:trPr>
          <w:trHeight w:val="217"/>
        </w:trPr>
        <w:tc>
          <w:tcPr>
            <w:tcW w:w="2065" w:type="dxa"/>
            <w:tcBorders>
              <w:top w:val="double" w:sz="4" w:space="0" w:color="auto"/>
              <w:bottom w:val="nil"/>
            </w:tcBorders>
            <w:shd w:val="clear" w:color="auto" w:fill="auto"/>
            <w:noWrap/>
            <w:vAlign w:val="bottom"/>
            <w:hideMark/>
          </w:tcPr>
          <w:p w:rsidR="00110A84" w:rsidRPr="0072397D" w:rsidRDefault="00110A84"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w:t>
            </w:r>
          </w:p>
        </w:tc>
        <w:tc>
          <w:tcPr>
            <w:tcW w:w="4167" w:type="dxa"/>
            <w:gridSpan w:val="3"/>
            <w:tcBorders>
              <w:top w:val="double" w:sz="4" w:space="0" w:color="auto"/>
              <w:bottom w:val="single" w:sz="4" w:space="0" w:color="auto"/>
            </w:tcBorders>
            <w:shd w:val="clear" w:color="auto" w:fill="auto"/>
            <w:vAlign w:val="bottom"/>
            <w:hideMark/>
          </w:tcPr>
          <w:p w:rsidR="00110A84" w:rsidRPr="0072397D" w:rsidRDefault="00110A84" w:rsidP="00CF086A">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Pourcentage de ménage selon le milieu de résidence du CM</w:t>
            </w:r>
          </w:p>
        </w:tc>
        <w:tc>
          <w:tcPr>
            <w:tcW w:w="1134" w:type="dxa"/>
            <w:vMerge w:val="restart"/>
            <w:tcBorders>
              <w:top w:val="double" w:sz="4" w:space="0" w:color="auto"/>
            </w:tcBorders>
            <w:shd w:val="clear" w:color="auto" w:fill="auto"/>
            <w:noWrap/>
            <w:vAlign w:val="bottom"/>
            <w:hideMark/>
          </w:tcPr>
          <w:p w:rsidR="00110A84" w:rsidRPr="0072397D" w:rsidRDefault="00110A84" w:rsidP="00110A84">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Effectif des ménages</w:t>
            </w:r>
          </w:p>
        </w:tc>
      </w:tr>
      <w:tr w:rsidR="00110A84" w:rsidRPr="0072397D" w:rsidTr="00110A84">
        <w:trPr>
          <w:trHeight w:val="265"/>
        </w:trPr>
        <w:tc>
          <w:tcPr>
            <w:tcW w:w="2065" w:type="dxa"/>
            <w:tcBorders>
              <w:top w:val="nil"/>
              <w:bottom w:val="single" w:sz="4" w:space="0" w:color="auto"/>
            </w:tcBorders>
            <w:shd w:val="clear" w:color="auto" w:fill="auto"/>
            <w:noWrap/>
            <w:vAlign w:val="bottom"/>
            <w:hideMark/>
          </w:tcPr>
          <w:p w:rsidR="00110A84" w:rsidRPr="0072397D" w:rsidRDefault="00110A84"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w:t>
            </w:r>
          </w:p>
        </w:tc>
        <w:tc>
          <w:tcPr>
            <w:tcW w:w="1112"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Urbain</w:t>
            </w:r>
          </w:p>
        </w:tc>
        <w:tc>
          <w:tcPr>
            <w:tcW w:w="1377"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Rural</w:t>
            </w:r>
          </w:p>
        </w:tc>
        <w:tc>
          <w:tcPr>
            <w:tcW w:w="1678"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1134" w:type="dxa"/>
            <w:vMerge/>
            <w:tcBorders>
              <w:bottom w:val="single" w:sz="4" w:space="0" w:color="auto"/>
            </w:tcBorders>
            <w:shd w:val="clear" w:color="auto" w:fill="auto"/>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p>
        </w:tc>
      </w:tr>
      <w:tr w:rsidR="00110A84" w:rsidRPr="0072397D" w:rsidTr="00110A84">
        <w:trPr>
          <w:trHeight w:val="217"/>
        </w:trPr>
        <w:tc>
          <w:tcPr>
            <w:tcW w:w="2065" w:type="dxa"/>
            <w:tcBorders>
              <w:top w:val="single" w:sz="4" w:space="0" w:color="auto"/>
            </w:tcBorders>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ALIBORI</w:t>
            </w:r>
          </w:p>
        </w:tc>
        <w:tc>
          <w:tcPr>
            <w:tcW w:w="1112"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6,0</w:t>
            </w:r>
          </w:p>
        </w:tc>
        <w:tc>
          <w:tcPr>
            <w:tcW w:w="1377"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9,6</w:t>
            </w:r>
          </w:p>
        </w:tc>
        <w:tc>
          <w:tcPr>
            <w:tcW w:w="1678"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8,1</w:t>
            </w:r>
          </w:p>
        </w:tc>
        <w:tc>
          <w:tcPr>
            <w:tcW w:w="1134" w:type="dxa"/>
            <w:tcBorders>
              <w:top w:val="single" w:sz="4" w:space="0" w:color="auto"/>
            </w:tcBorders>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ATACORA</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12,1</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7,3</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277</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ATLANTIQUE</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9,6</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8,3</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316</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BORGOU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11,3</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7,6</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9,1</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347</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COLLINES</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7,6</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16,5</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12,8</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489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COUFFO</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4,5</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6,4</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5,6</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215</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DONGA</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7,7</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8,4</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8,1</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308</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LITTORAL</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16,0</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0,0</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6,6</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252</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MONO</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5,3</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8,0</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306</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OUEME</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10,7</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10,5</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399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PLATEAU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3,0</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4,3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144</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ZOU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6,2</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15,9</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11,9</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454</w:t>
            </w:r>
          </w:p>
        </w:tc>
      </w:tr>
      <w:tr w:rsidR="00110A84" w:rsidRPr="0072397D" w:rsidTr="00110A84">
        <w:trPr>
          <w:trHeight w:val="217"/>
        </w:trPr>
        <w:tc>
          <w:tcPr>
            <w:tcW w:w="2065" w:type="dxa"/>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Total</w:t>
            </w:r>
          </w:p>
        </w:tc>
        <w:tc>
          <w:tcPr>
            <w:tcW w:w="1112"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377"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678"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134"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3816</w:t>
            </w:r>
          </w:p>
        </w:tc>
      </w:tr>
      <w:tr w:rsidR="00110A84" w:rsidRPr="0072397D" w:rsidTr="00110A84">
        <w:trPr>
          <w:trHeight w:val="217"/>
        </w:trPr>
        <w:tc>
          <w:tcPr>
            <w:tcW w:w="2065" w:type="dxa"/>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Nombre de ménages</w:t>
            </w:r>
          </w:p>
        </w:tc>
        <w:tc>
          <w:tcPr>
            <w:tcW w:w="1112"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1577</w:t>
            </w:r>
          </w:p>
        </w:tc>
        <w:tc>
          <w:tcPr>
            <w:tcW w:w="1377"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2239</w:t>
            </w:r>
          </w:p>
        </w:tc>
        <w:tc>
          <w:tcPr>
            <w:tcW w:w="1678"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3816</w:t>
            </w:r>
          </w:p>
        </w:tc>
        <w:tc>
          <w:tcPr>
            <w:tcW w:w="1134"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3816</w:t>
            </w:r>
          </w:p>
        </w:tc>
      </w:tr>
    </w:tbl>
    <w:p w:rsidR="00F57BAA" w:rsidRPr="00B91293" w:rsidRDefault="00B91293" w:rsidP="00025637">
      <w:pPr>
        <w:jc w:val="both"/>
        <w:rPr>
          <w:rFonts w:ascii="Trebuchet MS" w:hAnsi="Trebuchet MS"/>
          <w:b/>
        </w:rPr>
      </w:pPr>
      <w:r w:rsidRPr="00B91293">
        <w:rPr>
          <w:rFonts w:ascii="Trebuchet MS" w:hAnsi="Trebuchet MS" w:cs="Arial"/>
          <w:b/>
          <w:bCs/>
          <w:color w:val="000000"/>
          <w:sz w:val="20"/>
        </w:rPr>
        <w:t>Source : ECEB, INSAE, 2015</w:t>
      </w:r>
    </w:p>
    <w:p w:rsidR="00427F42" w:rsidRPr="00C9646C" w:rsidRDefault="00427F42" w:rsidP="00F57BAA">
      <w:pPr>
        <w:spacing w:after="0"/>
        <w:jc w:val="both"/>
        <w:rPr>
          <w:rFonts w:ascii="Trebuchet MS" w:hAnsi="Trebuchet MS"/>
        </w:rPr>
      </w:pPr>
    </w:p>
    <w:p w:rsidR="00427F42" w:rsidRPr="00C9646C" w:rsidRDefault="00427F42" w:rsidP="00F57BAA">
      <w:pPr>
        <w:spacing w:after="0"/>
        <w:jc w:val="both"/>
        <w:rPr>
          <w:rFonts w:ascii="Trebuchet MS" w:hAnsi="Trebuchet MS"/>
        </w:rPr>
      </w:pPr>
    </w:p>
    <w:p w:rsidR="00F57BAA" w:rsidRPr="00D64E6F" w:rsidRDefault="00F57BAA" w:rsidP="00F03E08">
      <w:pPr>
        <w:pStyle w:val="Titre4"/>
        <w:numPr>
          <w:ilvl w:val="2"/>
          <w:numId w:val="6"/>
        </w:numPr>
      </w:pPr>
      <w:bookmarkStart w:id="60" w:name="_Toc425961628"/>
      <w:bookmarkStart w:id="61" w:name="_Toc426359422"/>
      <w:r w:rsidRPr="00D64E6F">
        <w:t>Structure des ménages suivant les caractéristiques sociodémographiques des chefs</w:t>
      </w:r>
      <w:bookmarkEnd w:id="60"/>
      <w:bookmarkEnd w:id="61"/>
    </w:p>
    <w:p w:rsidR="00F108BD" w:rsidRDefault="00B811FE" w:rsidP="00025637">
      <w:pPr>
        <w:jc w:val="both"/>
        <w:rPr>
          <w:rFonts w:ascii="Trebuchet MS" w:hAnsi="Trebuchet MS"/>
        </w:rPr>
      </w:pPr>
      <w:r w:rsidRPr="0072397D">
        <w:rPr>
          <w:rFonts w:ascii="Trebuchet MS" w:hAnsi="Trebuchet MS"/>
        </w:rPr>
        <w:t xml:space="preserve">Dans l’ensemble, plus de 3 </w:t>
      </w:r>
      <w:r w:rsidR="00F57BAA" w:rsidRPr="0072397D">
        <w:rPr>
          <w:rFonts w:ascii="Trebuchet MS" w:hAnsi="Trebuchet MS"/>
        </w:rPr>
        <w:t xml:space="preserve">ménages </w:t>
      </w:r>
      <w:r w:rsidRPr="0072397D">
        <w:rPr>
          <w:rFonts w:ascii="Trebuchet MS" w:hAnsi="Trebuchet MS"/>
        </w:rPr>
        <w:t xml:space="preserve">sur 4 </w:t>
      </w:r>
      <w:r w:rsidR="00F57BAA">
        <w:rPr>
          <w:rFonts w:ascii="Trebuchet MS" w:hAnsi="Trebuchet MS"/>
        </w:rPr>
        <w:t>sont dirigés par des hommes</w:t>
      </w:r>
      <w:r w:rsidRPr="0072397D">
        <w:rPr>
          <w:rFonts w:ascii="Trebuchet MS" w:hAnsi="Trebuchet MS"/>
        </w:rPr>
        <w:t xml:space="preserve"> (80,</w:t>
      </w:r>
      <w:r w:rsidR="00F57BAA">
        <w:rPr>
          <w:rFonts w:ascii="Trebuchet MS" w:hAnsi="Trebuchet MS"/>
        </w:rPr>
        <w:t>3</w:t>
      </w:r>
      <w:r w:rsidRPr="0072397D">
        <w:rPr>
          <w:rFonts w:ascii="Trebuchet MS" w:hAnsi="Trebuchet MS"/>
        </w:rPr>
        <w:t>%). En ce qui concerne la répartition selon le groupe d’âge</w:t>
      </w:r>
      <w:r w:rsidR="00207E2C">
        <w:rPr>
          <w:rFonts w:ascii="Trebuchet MS" w:hAnsi="Trebuchet MS"/>
        </w:rPr>
        <w:t xml:space="preserve"> du chef de ménage</w:t>
      </w:r>
      <w:r w:rsidRPr="0072397D">
        <w:rPr>
          <w:rFonts w:ascii="Trebuchet MS" w:hAnsi="Trebuchet MS"/>
        </w:rPr>
        <w:t xml:space="preserve">, </w:t>
      </w:r>
      <w:r w:rsidR="00207E2C">
        <w:rPr>
          <w:rFonts w:ascii="Trebuchet MS" w:hAnsi="Trebuchet MS"/>
        </w:rPr>
        <w:t xml:space="preserve">les proportions de ménage </w:t>
      </w:r>
      <w:r w:rsidRPr="0072397D">
        <w:rPr>
          <w:rFonts w:ascii="Trebuchet MS" w:hAnsi="Trebuchet MS"/>
        </w:rPr>
        <w:t>les plus élevé</w:t>
      </w:r>
      <w:r w:rsidR="00207E2C">
        <w:rPr>
          <w:rFonts w:ascii="Trebuchet MS" w:hAnsi="Trebuchet MS"/>
        </w:rPr>
        <w:t>e</w:t>
      </w:r>
      <w:r w:rsidRPr="0072397D">
        <w:rPr>
          <w:rFonts w:ascii="Trebuchet MS" w:hAnsi="Trebuchet MS"/>
        </w:rPr>
        <w:t>s sont observé</w:t>
      </w:r>
      <w:r w:rsidR="00207E2C">
        <w:rPr>
          <w:rFonts w:ascii="Trebuchet MS" w:hAnsi="Trebuchet MS"/>
        </w:rPr>
        <w:t>e</w:t>
      </w:r>
      <w:r w:rsidRPr="0072397D">
        <w:rPr>
          <w:rFonts w:ascii="Trebuchet MS" w:hAnsi="Trebuchet MS"/>
        </w:rPr>
        <w:t xml:space="preserve">s au niveau des tranches d’âges de 30-39 ans et de </w:t>
      </w:r>
      <w:r w:rsidR="00207E2C">
        <w:rPr>
          <w:rFonts w:ascii="Trebuchet MS" w:hAnsi="Trebuchet MS"/>
        </w:rPr>
        <w:t>40-49 ans avec 25,</w:t>
      </w:r>
      <w:r w:rsidRPr="0072397D">
        <w:rPr>
          <w:rFonts w:ascii="Trebuchet MS" w:hAnsi="Trebuchet MS"/>
        </w:rPr>
        <w:t xml:space="preserve">0% et 24,8% respectivement. Les ménages dont le chef a moins de 20 ans </w:t>
      </w:r>
      <w:r w:rsidR="00207E2C">
        <w:rPr>
          <w:rFonts w:ascii="Trebuchet MS" w:hAnsi="Trebuchet MS"/>
        </w:rPr>
        <w:t>(</w:t>
      </w:r>
      <w:r w:rsidR="00207E2C" w:rsidRPr="0072397D">
        <w:rPr>
          <w:rFonts w:ascii="Trebuchet MS" w:hAnsi="Trebuchet MS"/>
        </w:rPr>
        <w:t>0,</w:t>
      </w:r>
      <w:r w:rsidR="00207E2C">
        <w:rPr>
          <w:rFonts w:ascii="Trebuchet MS" w:hAnsi="Trebuchet MS"/>
        </w:rPr>
        <w:t>5</w:t>
      </w:r>
      <w:r w:rsidR="00207E2C" w:rsidRPr="0072397D">
        <w:rPr>
          <w:rFonts w:ascii="Trebuchet MS" w:hAnsi="Trebuchet MS"/>
        </w:rPr>
        <w:t>%</w:t>
      </w:r>
      <w:r w:rsidR="00207E2C">
        <w:rPr>
          <w:rFonts w:ascii="Trebuchet MS" w:hAnsi="Trebuchet MS"/>
        </w:rPr>
        <w:t xml:space="preserve">) </w:t>
      </w:r>
      <w:r w:rsidRPr="0072397D">
        <w:rPr>
          <w:rFonts w:ascii="Trebuchet MS" w:hAnsi="Trebuchet MS"/>
        </w:rPr>
        <w:t xml:space="preserve">et ceux </w:t>
      </w:r>
      <w:r w:rsidR="00207E2C">
        <w:rPr>
          <w:rFonts w:ascii="Trebuchet MS" w:hAnsi="Trebuchet MS"/>
        </w:rPr>
        <w:t xml:space="preserve">dont le chef est dans la tranche </w:t>
      </w:r>
      <w:r w:rsidRPr="0072397D">
        <w:rPr>
          <w:rFonts w:ascii="Trebuchet MS" w:hAnsi="Trebuchet MS"/>
        </w:rPr>
        <w:t>d’âge de 70 ans et plus</w:t>
      </w:r>
      <w:r w:rsidR="00207E2C">
        <w:rPr>
          <w:rFonts w:ascii="Trebuchet MS" w:hAnsi="Trebuchet MS"/>
        </w:rPr>
        <w:t xml:space="preserve"> (</w:t>
      </w:r>
      <w:r w:rsidR="00207E2C" w:rsidRPr="0072397D">
        <w:rPr>
          <w:rFonts w:ascii="Trebuchet MS" w:hAnsi="Trebuchet MS"/>
        </w:rPr>
        <w:t>9,</w:t>
      </w:r>
      <w:r w:rsidR="00207E2C">
        <w:rPr>
          <w:rFonts w:ascii="Trebuchet MS" w:hAnsi="Trebuchet MS"/>
        </w:rPr>
        <w:t>1</w:t>
      </w:r>
      <w:r w:rsidR="00207E2C" w:rsidRPr="0072397D">
        <w:rPr>
          <w:rFonts w:ascii="Trebuchet MS" w:hAnsi="Trebuchet MS"/>
        </w:rPr>
        <w:t>%</w:t>
      </w:r>
      <w:r w:rsidR="00207E2C">
        <w:rPr>
          <w:rFonts w:ascii="Trebuchet MS" w:hAnsi="Trebuchet MS"/>
        </w:rPr>
        <w:t>),</w:t>
      </w:r>
      <w:r w:rsidRPr="0072397D">
        <w:rPr>
          <w:rFonts w:ascii="Trebuchet MS" w:hAnsi="Trebuchet MS"/>
        </w:rPr>
        <w:t xml:space="preserve"> sont en faibles proportions. </w:t>
      </w:r>
    </w:p>
    <w:p w:rsidR="00F108BD" w:rsidRDefault="00B811FE" w:rsidP="00025637">
      <w:pPr>
        <w:jc w:val="both"/>
        <w:rPr>
          <w:rFonts w:ascii="Trebuchet MS" w:hAnsi="Trebuchet MS"/>
        </w:rPr>
      </w:pPr>
      <w:r w:rsidRPr="0072397D">
        <w:rPr>
          <w:rFonts w:ascii="Trebuchet MS" w:hAnsi="Trebuchet MS"/>
        </w:rPr>
        <w:t>Pour ce qui est de la situation matrimoniale, dans l’ensemble</w:t>
      </w:r>
      <w:r w:rsidR="00207E2C">
        <w:rPr>
          <w:rFonts w:ascii="Trebuchet MS" w:hAnsi="Trebuchet MS"/>
        </w:rPr>
        <w:t>,</w:t>
      </w:r>
      <w:r w:rsidRPr="0072397D">
        <w:rPr>
          <w:rFonts w:ascii="Trebuchet MS" w:hAnsi="Trebuchet MS"/>
        </w:rPr>
        <w:t xml:space="preserve"> plus de la moitié (58,</w:t>
      </w:r>
      <w:r w:rsidR="00207E2C">
        <w:rPr>
          <w:rFonts w:ascii="Trebuchet MS" w:hAnsi="Trebuchet MS"/>
        </w:rPr>
        <w:t>6</w:t>
      </w:r>
      <w:r w:rsidRPr="0072397D">
        <w:rPr>
          <w:rFonts w:ascii="Trebuchet MS" w:hAnsi="Trebuchet MS"/>
        </w:rPr>
        <w:t xml:space="preserve">%) des chefs de ménages sont monogames. </w:t>
      </w:r>
      <w:r w:rsidR="00F108BD">
        <w:rPr>
          <w:rFonts w:ascii="Trebuchet MS" w:hAnsi="Trebuchet MS"/>
        </w:rPr>
        <w:t xml:space="preserve">La même tendance s’observe en milieu urbain et en milieu rural. </w:t>
      </w:r>
      <w:r w:rsidRPr="0072397D">
        <w:rPr>
          <w:rFonts w:ascii="Trebuchet MS" w:hAnsi="Trebuchet MS"/>
        </w:rPr>
        <w:t xml:space="preserve">Le pourcentage </w:t>
      </w:r>
      <w:r w:rsidR="00F108BD">
        <w:rPr>
          <w:rFonts w:ascii="Trebuchet MS" w:hAnsi="Trebuchet MS"/>
        </w:rPr>
        <w:t xml:space="preserve">de ménage </w:t>
      </w:r>
      <w:r w:rsidRPr="0072397D">
        <w:rPr>
          <w:rFonts w:ascii="Trebuchet MS" w:hAnsi="Trebuchet MS"/>
        </w:rPr>
        <w:t xml:space="preserve">le plus élevé est donc observé au niveau des </w:t>
      </w:r>
      <w:r w:rsidR="00F108BD">
        <w:rPr>
          <w:rFonts w:ascii="Trebuchet MS" w:hAnsi="Trebuchet MS"/>
        </w:rPr>
        <w:t xml:space="preserve">chefs de </w:t>
      </w:r>
      <w:r w:rsidRPr="0072397D">
        <w:rPr>
          <w:rFonts w:ascii="Trebuchet MS" w:hAnsi="Trebuchet MS"/>
        </w:rPr>
        <w:t>ménages</w:t>
      </w:r>
      <w:r w:rsidR="00F108BD">
        <w:rPr>
          <w:rFonts w:ascii="Trebuchet MS" w:hAnsi="Trebuchet MS"/>
        </w:rPr>
        <w:t xml:space="preserve"> mariés </w:t>
      </w:r>
      <w:r w:rsidRPr="0072397D">
        <w:rPr>
          <w:rFonts w:ascii="Trebuchet MS" w:hAnsi="Trebuchet MS"/>
        </w:rPr>
        <w:t xml:space="preserve">monogames suivis des </w:t>
      </w:r>
      <w:r w:rsidR="00F108BD">
        <w:rPr>
          <w:rFonts w:ascii="Trebuchet MS" w:hAnsi="Trebuchet MS"/>
        </w:rPr>
        <w:t xml:space="preserve">chefs de </w:t>
      </w:r>
      <w:r w:rsidRPr="0072397D">
        <w:rPr>
          <w:rFonts w:ascii="Trebuchet MS" w:hAnsi="Trebuchet MS"/>
        </w:rPr>
        <w:t>ménage</w:t>
      </w:r>
      <w:r w:rsidR="00F108BD">
        <w:rPr>
          <w:rFonts w:ascii="Trebuchet MS" w:hAnsi="Trebuchet MS"/>
        </w:rPr>
        <w:t xml:space="preserve"> mariés</w:t>
      </w:r>
      <w:r w:rsidRPr="0072397D">
        <w:rPr>
          <w:rFonts w:ascii="Trebuchet MS" w:hAnsi="Trebuchet MS"/>
        </w:rPr>
        <w:t xml:space="preserve"> polygames (23,</w:t>
      </w:r>
      <w:r w:rsidR="00207E2C">
        <w:rPr>
          <w:rFonts w:ascii="Trebuchet MS" w:hAnsi="Trebuchet MS"/>
        </w:rPr>
        <w:t>4</w:t>
      </w:r>
      <w:r w:rsidRPr="0072397D">
        <w:rPr>
          <w:rFonts w:ascii="Trebuchet MS" w:hAnsi="Trebuchet MS"/>
        </w:rPr>
        <w:t xml:space="preserve">%). Les </w:t>
      </w:r>
      <w:r w:rsidR="00F108BD">
        <w:rPr>
          <w:rFonts w:ascii="Trebuchet MS" w:hAnsi="Trebuchet MS"/>
        </w:rPr>
        <w:t xml:space="preserve">ménages dans lesquels le chef est </w:t>
      </w:r>
      <w:r w:rsidR="00207E2C">
        <w:rPr>
          <w:rFonts w:ascii="Trebuchet MS" w:hAnsi="Trebuchet MS"/>
        </w:rPr>
        <w:t xml:space="preserve">en union libre (2,1%) </w:t>
      </w:r>
      <w:r w:rsidR="00F108BD">
        <w:rPr>
          <w:rFonts w:ascii="Trebuchet MS" w:hAnsi="Trebuchet MS"/>
        </w:rPr>
        <w:t xml:space="preserve">et </w:t>
      </w:r>
      <w:r w:rsidR="00207E2C">
        <w:rPr>
          <w:rFonts w:ascii="Trebuchet MS" w:hAnsi="Trebuchet MS"/>
        </w:rPr>
        <w:t>divorcés (2,4</w:t>
      </w:r>
      <w:r w:rsidRPr="0072397D">
        <w:rPr>
          <w:rFonts w:ascii="Trebuchet MS" w:hAnsi="Trebuchet MS"/>
        </w:rPr>
        <w:t>%)</w:t>
      </w:r>
      <w:r w:rsidR="00F108BD">
        <w:rPr>
          <w:rFonts w:ascii="Trebuchet MS" w:hAnsi="Trebuchet MS"/>
        </w:rPr>
        <w:t xml:space="preserve"> sont en faible proportion</w:t>
      </w:r>
      <w:r w:rsidRPr="0072397D">
        <w:rPr>
          <w:rFonts w:ascii="Trebuchet MS" w:hAnsi="Trebuchet MS"/>
        </w:rPr>
        <w:t xml:space="preserve">. </w:t>
      </w:r>
    </w:p>
    <w:p w:rsidR="00B811FE" w:rsidRDefault="00B811FE" w:rsidP="00025637">
      <w:pPr>
        <w:jc w:val="both"/>
        <w:rPr>
          <w:rFonts w:ascii="Trebuchet MS" w:hAnsi="Trebuchet MS"/>
        </w:rPr>
      </w:pPr>
      <w:r w:rsidRPr="0072397D">
        <w:rPr>
          <w:rFonts w:ascii="Trebuchet MS" w:hAnsi="Trebuchet MS"/>
        </w:rPr>
        <w:t xml:space="preserve">Quant à la répartition selon la religion, </w:t>
      </w:r>
      <w:r w:rsidR="00F108BD">
        <w:rPr>
          <w:rFonts w:ascii="Trebuchet MS" w:hAnsi="Trebuchet MS"/>
        </w:rPr>
        <w:t xml:space="preserve">le tableau ci-après indique que chefs de ménage pratiquent en grande partie </w:t>
      </w:r>
      <w:r w:rsidRPr="0072397D">
        <w:rPr>
          <w:rFonts w:ascii="Trebuchet MS" w:hAnsi="Trebuchet MS"/>
        </w:rPr>
        <w:t>la religion catholique</w:t>
      </w:r>
      <w:r w:rsidR="00F108BD">
        <w:rPr>
          <w:rFonts w:ascii="Trebuchet MS" w:hAnsi="Trebuchet MS"/>
        </w:rPr>
        <w:t xml:space="preserve"> (</w:t>
      </w:r>
      <w:r w:rsidR="00F108BD" w:rsidRPr="0072397D">
        <w:rPr>
          <w:rFonts w:ascii="Trebuchet MS" w:hAnsi="Trebuchet MS"/>
        </w:rPr>
        <w:t>28,</w:t>
      </w:r>
      <w:r w:rsidR="00F108BD">
        <w:rPr>
          <w:rFonts w:ascii="Trebuchet MS" w:hAnsi="Trebuchet MS"/>
        </w:rPr>
        <w:t>8</w:t>
      </w:r>
      <w:r w:rsidR="00F108BD" w:rsidRPr="0072397D">
        <w:rPr>
          <w:rFonts w:ascii="Trebuchet MS" w:hAnsi="Trebuchet MS"/>
        </w:rPr>
        <w:t>%</w:t>
      </w:r>
      <w:r w:rsidR="00F108BD">
        <w:rPr>
          <w:rFonts w:ascii="Trebuchet MS" w:hAnsi="Trebuchet MS"/>
        </w:rPr>
        <w:t>)</w:t>
      </w:r>
      <w:r w:rsidRPr="0072397D">
        <w:rPr>
          <w:rFonts w:ascii="Trebuchet MS" w:hAnsi="Trebuchet MS"/>
        </w:rPr>
        <w:t>, l’islam</w:t>
      </w:r>
      <w:r w:rsidR="00F108BD">
        <w:rPr>
          <w:rFonts w:ascii="Trebuchet MS" w:hAnsi="Trebuchet MS"/>
        </w:rPr>
        <w:t xml:space="preserve"> (</w:t>
      </w:r>
      <w:r w:rsidR="00F108BD" w:rsidRPr="0072397D">
        <w:rPr>
          <w:rFonts w:ascii="Trebuchet MS" w:hAnsi="Trebuchet MS"/>
        </w:rPr>
        <w:t>24,6%</w:t>
      </w:r>
      <w:r w:rsidR="00F108BD">
        <w:rPr>
          <w:rFonts w:ascii="Trebuchet MS" w:hAnsi="Trebuchet MS"/>
        </w:rPr>
        <w:t>)</w:t>
      </w:r>
      <w:r w:rsidRPr="0072397D">
        <w:rPr>
          <w:rFonts w:ascii="Trebuchet MS" w:hAnsi="Trebuchet MS"/>
        </w:rPr>
        <w:t xml:space="preserve"> et le vodoun</w:t>
      </w:r>
      <w:r w:rsidR="00F108BD">
        <w:rPr>
          <w:rFonts w:ascii="Trebuchet MS" w:hAnsi="Trebuchet MS"/>
        </w:rPr>
        <w:t xml:space="preserve"> (</w:t>
      </w:r>
      <w:r w:rsidR="00F108BD" w:rsidRPr="0072397D">
        <w:rPr>
          <w:rFonts w:ascii="Trebuchet MS" w:hAnsi="Trebuchet MS"/>
        </w:rPr>
        <w:t>1</w:t>
      </w:r>
      <w:r w:rsidR="00F108BD">
        <w:rPr>
          <w:rFonts w:ascii="Trebuchet MS" w:hAnsi="Trebuchet MS"/>
        </w:rPr>
        <w:t>6</w:t>
      </w:r>
      <w:r w:rsidR="00F108BD" w:rsidRPr="0072397D">
        <w:rPr>
          <w:rFonts w:ascii="Trebuchet MS" w:hAnsi="Trebuchet MS"/>
        </w:rPr>
        <w:t>,</w:t>
      </w:r>
      <w:r w:rsidR="00F108BD">
        <w:rPr>
          <w:rFonts w:ascii="Trebuchet MS" w:hAnsi="Trebuchet MS"/>
        </w:rPr>
        <w:t>0%).</w:t>
      </w:r>
    </w:p>
    <w:p w:rsidR="00110A84" w:rsidRDefault="00991B33" w:rsidP="00991B33">
      <w:pPr>
        <w:spacing w:after="0" w:line="240" w:lineRule="auto"/>
        <w:jc w:val="both"/>
        <w:rPr>
          <w:rFonts w:ascii="Trebuchet MS" w:hAnsi="Trebuchet MS"/>
        </w:rPr>
      </w:pPr>
      <w:bookmarkStart w:id="62" w:name="_Toc425955980"/>
      <w:bookmarkStart w:id="63" w:name="_Toc426359321"/>
      <w:r w:rsidRPr="00991B33">
        <w:rPr>
          <w:rFonts w:ascii="Trebuchet MS" w:hAnsi="Trebuchet MS"/>
          <w:b/>
          <w:sz w:val="20"/>
        </w:rPr>
        <w:t xml:space="preserve">Tableau </w:t>
      </w:r>
      <w:r w:rsidR="00792500" w:rsidRPr="00991B33">
        <w:rPr>
          <w:rFonts w:ascii="Trebuchet MS" w:hAnsi="Trebuchet MS"/>
          <w:b/>
          <w:sz w:val="20"/>
        </w:rPr>
        <w:fldChar w:fldCharType="begin"/>
      </w:r>
      <w:r w:rsidRPr="00991B33">
        <w:rPr>
          <w:rFonts w:ascii="Trebuchet MS" w:hAnsi="Trebuchet MS"/>
          <w:b/>
          <w:sz w:val="20"/>
        </w:rPr>
        <w:instrText xml:space="preserve"> SEQ Tableau \* ARABIC </w:instrText>
      </w:r>
      <w:r w:rsidR="00792500" w:rsidRPr="00991B33">
        <w:rPr>
          <w:rFonts w:ascii="Trebuchet MS" w:hAnsi="Trebuchet MS"/>
          <w:b/>
          <w:sz w:val="20"/>
        </w:rPr>
        <w:fldChar w:fldCharType="separate"/>
      </w:r>
      <w:r w:rsidR="00556962">
        <w:rPr>
          <w:rFonts w:ascii="Trebuchet MS" w:hAnsi="Trebuchet MS"/>
          <w:b/>
          <w:noProof/>
          <w:sz w:val="20"/>
        </w:rPr>
        <w:t>2</w:t>
      </w:r>
      <w:r w:rsidR="00792500" w:rsidRPr="00991B33">
        <w:rPr>
          <w:rFonts w:ascii="Trebuchet MS" w:hAnsi="Trebuchet MS"/>
          <w:b/>
          <w:sz w:val="20"/>
        </w:rPr>
        <w:fldChar w:fldCharType="end"/>
      </w:r>
      <w:r w:rsidRPr="00991B33">
        <w:rPr>
          <w:rFonts w:ascii="Trebuchet MS" w:hAnsi="Trebuchet MS"/>
          <w:b/>
          <w:color w:val="000000"/>
          <w:sz w:val="20"/>
        </w:rPr>
        <w:t>: Répartition (%) des ménages enquêtés suivant les caractéristiques sociodémographiques de leur chef</w:t>
      </w:r>
      <w:bookmarkEnd w:id="62"/>
      <w:bookmarkEnd w:id="63"/>
    </w:p>
    <w:tbl>
      <w:tblPr>
        <w:tblW w:w="7560" w:type="dxa"/>
        <w:tblInd w:w="58"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847"/>
        <w:gridCol w:w="993"/>
        <w:gridCol w:w="992"/>
        <w:gridCol w:w="1208"/>
        <w:gridCol w:w="1520"/>
      </w:tblGrid>
      <w:tr w:rsidR="00991B33" w:rsidRPr="00991B33" w:rsidTr="00991B33">
        <w:trPr>
          <w:trHeight w:val="227"/>
        </w:trPr>
        <w:tc>
          <w:tcPr>
            <w:tcW w:w="2847" w:type="dxa"/>
            <w:tcBorders>
              <w:top w:val="double" w:sz="4" w:space="0" w:color="auto"/>
              <w:bottom w:val="single" w:sz="4" w:space="0" w:color="auto"/>
            </w:tcBorders>
            <w:shd w:val="clear" w:color="auto" w:fill="auto"/>
            <w:noWrap/>
            <w:vAlign w:val="bottom"/>
            <w:hideMark/>
          </w:tcPr>
          <w:p w:rsidR="00C30E7B" w:rsidRPr="00991B33" w:rsidRDefault="00C30E7B"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 </w:t>
            </w:r>
          </w:p>
        </w:tc>
        <w:tc>
          <w:tcPr>
            <w:tcW w:w="3193" w:type="dxa"/>
            <w:gridSpan w:val="3"/>
            <w:tcBorders>
              <w:top w:val="double" w:sz="4" w:space="0" w:color="auto"/>
              <w:bottom w:val="single" w:sz="4" w:space="0" w:color="auto"/>
            </w:tcBorders>
            <w:shd w:val="clear" w:color="auto" w:fill="auto"/>
            <w:vAlign w:val="bottom"/>
            <w:hideMark/>
          </w:tcPr>
          <w:p w:rsidR="00C30E7B" w:rsidRPr="00991B33" w:rsidRDefault="00C30E7B"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Pourcentage de ménage selon le milieu de résidence du CM</w:t>
            </w:r>
          </w:p>
        </w:tc>
        <w:tc>
          <w:tcPr>
            <w:tcW w:w="1520" w:type="dxa"/>
            <w:vMerge w:val="restart"/>
            <w:tcBorders>
              <w:top w:val="double" w:sz="4" w:space="0" w:color="auto"/>
              <w:bottom w:val="single" w:sz="4" w:space="0" w:color="auto"/>
            </w:tcBorders>
            <w:shd w:val="clear" w:color="auto" w:fill="auto"/>
            <w:noWrap/>
            <w:vAlign w:val="bottom"/>
            <w:hideMark/>
          </w:tcPr>
          <w:p w:rsidR="00C30E7B" w:rsidRPr="00991B33" w:rsidRDefault="00C30E7B"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Effectif des ménages</w:t>
            </w:r>
          </w:p>
        </w:tc>
      </w:tr>
      <w:tr w:rsidR="00991B33" w:rsidRPr="00991B33" w:rsidTr="00991B33">
        <w:trPr>
          <w:trHeight w:val="227"/>
        </w:trPr>
        <w:tc>
          <w:tcPr>
            <w:tcW w:w="2847" w:type="dxa"/>
            <w:tcBorders>
              <w:top w:val="single" w:sz="4" w:space="0" w:color="auto"/>
              <w:bottom w:val="single" w:sz="4" w:space="0" w:color="auto"/>
            </w:tcBorders>
            <w:shd w:val="clear" w:color="auto" w:fill="auto"/>
            <w:noWrap/>
            <w:vAlign w:val="bottom"/>
            <w:hideMark/>
          </w:tcPr>
          <w:p w:rsidR="00C30E7B" w:rsidRPr="00991B33" w:rsidRDefault="00C30E7B"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 </w:t>
            </w:r>
          </w:p>
        </w:tc>
        <w:tc>
          <w:tcPr>
            <w:tcW w:w="993"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Urbain</w:t>
            </w:r>
          </w:p>
        </w:tc>
        <w:tc>
          <w:tcPr>
            <w:tcW w:w="992"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Rural</w:t>
            </w:r>
          </w:p>
        </w:tc>
        <w:tc>
          <w:tcPr>
            <w:tcW w:w="1208"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Ensemble</w:t>
            </w:r>
          </w:p>
        </w:tc>
        <w:tc>
          <w:tcPr>
            <w:tcW w:w="1520" w:type="dxa"/>
            <w:vMerge/>
            <w:tcBorders>
              <w:top w:val="single" w:sz="4" w:space="0" w:color="auto"/>
              <w:bottom w:val="single" w:sz="4" w:space="0" w:color="auto"/>
            </w:tcBorders>
            <w:shd w:val="clear" w:color="auto" w:fill="auto"/>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tcBorders>
              <w:top w:val="sing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Sexe du CM</w:t>
            </w:r>
          </w:p>
        </w:tc>
        <w:tc>
          <w:tcPr>
            <w:tcW w:w="993"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992"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1208"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1520"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Masculin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80,9</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79,9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80,3</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3064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Féminin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20,1</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752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Groupe d'âge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Moins de 20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0,5</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20-29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12,6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11,1</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447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30-39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26,2</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25,0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954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40-49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948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50-59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651</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60-69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11,7</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452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70 ans et plus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346</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Situation matrimoniale du CM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Marié(e) monogame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61,3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56,7</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58,6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2235</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Marié(e) polygame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892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Union libre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2,9</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80</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Célibataire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6,8</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4,0</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5,2</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Divorcé(e) / séparé(e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91</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Veuf (veuve)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6,5</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8,7</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7,8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Non déclaré</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0,3</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Réligion du CM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 xml:space="preserve">Vodoun       </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20,2</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609</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traditionnels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1,5</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54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Islam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28,3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22,0</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939</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Catholique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32,1</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28,8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1097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Protestant méthodiste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115</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protestants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103</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Céleste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4,0</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166</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chrétien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9,5</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358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 religion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3,3</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145</w:t>
            </w:r>
          </w:p>
        </w:tc>
      </w:tr>
      <w:tr w:rsidR="00991B33" w:rsidRPr="00991B33" w:rsidTr="00991B33">
        <w:trPr>
          <w:trHeight w:val="227"/>
        </w:trPr>
        <w:tc>
          <w:tcPr>
            <w:tcW w:w="2847" w:type="dxa"/>
            <w:tcBorders>
              <w:bottom w:val="single" w:sz="4" w:space="0" w:color="auto"/>
            </w:tcBorders>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Aucune religion</w:t>
            </w:r>
          </w:p>
        </w:tc>
        <w:tc>
          <w:tcPr>
            <w:tcW w:w="993"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5,3</w:t>
            </w:r>
          </w:p>
        </w:tc>
        <w:tc>
          <w:tcPr>
            <w:tcW w:w="992"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6,6</w:t>
            </w:r>
          </w:p>
        </w:tc>
        <w:tc>
          <w:tcPr>
            <w:tcW w:w="1208"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6,0</w:t>
            </w:r>
          </w:p>
        </w:tc>
        <w:tc>
          <w:tcPr>
            <w:tcW w:w="1520"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230</w:t>
            </w:r>
          </w:p>
        </w:tc>
      </w:tr>
      <w:tr w:rsidR="00991B33" w:rsidRPr="00991B33" w:rsidTr="00991B33">
        <w:trPr>
          <w:trHeight w:val="227"/>
        </w:trPr>
        <w:tc>
          <w:tcPr>
            <w:tcW w:w="2847" w:type="dxa"/>
            <w:tcBorders>
              <w:top w:val="single" w:sz="4" w:space="0" w:color="auto"/>
              <w:bottom w:val="doub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Total</w:t>
            </w:r>
          </w:p>
        </w:tc>
        <w:tc>
          <w:tcPr>
            <w:tcW w:w="993"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992"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1208"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1520"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3816</w:t>
            </w:r>
          </w:p>
        </w:tc>
      </w:tr>
      <w:tr w:rsidR="00991B33" w:rsidRPr="00991B33" w:rsidTr="00991B33">
        <w:trPr>
          <w:trHeight w:val="227"/>
        </w:trPr>
        <w:tc>
          <w:tcPr>
            <w:tcW w:w="2847" w:type="dxa"/>
            <w:tcBorders>
              <w:top w:val="single" w:sz="4" w:space="0" w:color="auto"/>
              <w:bottom w:val="doub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Nombre de ménages</w:t>
            </w:r>
          </w:p>
        </w:tc>
        <w:tc>
          <w:tcPr>
            <w:tcW w:w="993"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1577</w:t>
            </w:r>
          </w:p>
        </w:tc>
        <w:tc>
          <w:tcPr>
            <w:tcW w:w="992"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2239</w:t>
            </w:r>
          </w:p>
        </w:tc>
        <w:tc>
          <w:tcPr>
            <w:tcW w:w="1208"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3816</w:t>
            </w:r>
          </w:p>
        </w:tc>
        <w:tc>
          <w:tcPr>
            <w:tcW w:w="1520"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3816</w:t>
            </w:r>
          </w:p>
        </w:tc>
      </w:tr>
      <w:tr w:rsidR="00991B33" w:rsidRPr="00991B33" w:rsidTr="00991B33">
        <w:trPr>
          <w:trHeight w:val="227"/>
        </w:trPr>
        <w:tc>
          <w:tcPr>
            <w:tcW w:w="7560" w:type="dxa"/>
            <w:gridSpan w:val="5"/>
            <w:tcBorders>
              <w:top w:val="double" w:sz="4" w:space="0" w:color="auto"/>
              <w:bottom w:val="nil"/>
            </w:tcBorders>
            <w:shd w:val="clear" w:color="auto" w:fill="auto"/>
            <w:noWrap/>
            <w:vAlign w:val="bottom"/>
            <w:hideMark/>
          </w:tcPr>
          <w:p w:rsidR="00F108BD" w:rsidRPr="00991B33" w:rsidRDefault="00F108BD" w:rsidP="00C247B4">
            <w:pPr>
              <w:spacing w:before="60" w:after="0"/>
              <w:jc w:val="both"/>
              <w:rPr>
                <w:rFonts w:ascii="Trebuchet MS" w:hAnsi="Trebuchet MS" w:cs="Arial"/>
                <w:bCs/>
              </w:rPr>
            </w:pPr>
            <w:r w:rsidRPr="00991B33">
              <w:rPr>
                <w:rFonts w:ascii="Trebuchet MS" w:hAnsi="Trebuchet MS" w:cs="Arial"/>
                <w:bCs/>
              </w:rPr>
              <w:t>Source : ECEB, INSAE, 2015</w:t>
            </w:r>
          </w:p>
        </w:tc>
      </w:tr>
    </w:tbl>
    <w:p w:rsidR="0040094A" w:rsidRDefault="0040094A" w:rsidP="00B811FE"/>
    <w:p w:rsidR="00B811FE" w:rsidRPr="00D64E6F" w:rsidRDefault="00EE3E92" w:rsidP="00D02C71">
      <w:pPr>
        <w:pStyle w:val="Titre3"/>
      </w:pPr>
      <w:hyperlink w:anchor="_Toc347429979" w:history="1">
        <w:bookmarkStart w:id="64" w:name="_Toc425961629"/>
        <w:bookmarkStart w:id="65" w:name="_Toc426359391"/>
        <w:bookmarkStart w:id="66" w:name="_Toc426359423"/>
        <w:r w:rsidR="00B811FE" w:rsidRPr="00D64E6F">
          <w:t>Instruction scolaire et alphabétisation des chefs de ménage</w:t>
        </w:r>
        <w:bookmarkEnd w:id="64"/>
        <w:bookmarkEnd w:id="65"/>
        <w:bookmarkEnd w:id="66"/>
        <w:r w:rsidR="00B811FE" w:rsidRPr="00D64E6F">
          <w:rPr>
            <w:webHidden/>
          </w:rPr>
          <w:tab/>
        </w:r>
      </w:hyperlink>
    </w:p>
    <w:p w:rsidR="00B811FE" w:rsidRPr="0072397D" w:rsidRDefault="00B811FE" w:rsidP="00DE6BA4">
      <w:pPr>
        <w:jc w:val="both"/>
        <w:rPr>
          <w:rFonts w:ascii="Trebuchet MS" w:hAnsi="Trebuchet MS"/>
        </w:rPr>
      </w:pPr>
      <w:r w:rsidRPr="0072397D">
        <w:rPr>
          <w:rFonts w:ascii="Trebuchet MS" w:hAnsi="Trebuchet MS"/>
        </w:rPr>
        <w:t xml:space="preserve">L’analyse des résultats du </w:t>
      </w:r>
      <w:r w:rsidR="005229D7">
        <w:rPr>
          <w:rFonts w:ascii="Trebuchet MS" w:hAnsi="Trebuchet MS"/>
        </w:rPr>
        <w:t>graphique</w:t>
      </w:r>
      <w:r w:rsidRPr="0072397D">
        <w:rPr>
          <w:rFonts w:ascii="Trebuchet MS" w:hAnsi="Trebuchet MS"/>
        </w:rPr>
        <w:t xml:space="preserve"> ci-</w:t>
      </w:r>
      <w:r w:rsidR="0006064E">
        <w:rPr>
          <w:rFonts w:ascii="Trebuchet MS" w:hAnsi="Trebuchet MS"/>
        </w:rPr>
        <w:t>après</w:t>
      </w:r>
      <w:r w:rsidRPr="0072397D">
        <w:rPr>
          <w:rFonts w:ascii="Trebuchet MS" w:hAnsi="Trebuchet MS"/>
        </w:rPr>
        <w:t xml:space="preserve"> révèle dans l’ensemble que </w:t>
      </w:r>
      <w:r w:rsidR="005229D7">
        <w:rPr>
          <w:rFonts w:ascii="Trebuchet MS" w:hAnsi="Trebuchet MS"/>
        </w:rPr>
        <w:t>quatre (4) ménages sur dix (10) sont dirigés par des personnes qui n’</w:t>
      </w:r>
      <w:r w:rsidRPr="0072397D">
        <w:rPr>
          <w:rFonts w:ascii="Trebuchet MS" w:hAnsi="Trebuchet MS"/>
        </w:rPr>
        <w:t xml:space="preserve">ont aucun niveau </w:t>
      </w:r>
      <w:r w:rsidR="005229D7">
        <w:rPr>
          <w:rFonts w:ascii="Trebuchet MS" w:hAnsi="Trebuchet MS"/>
        </w:rPr>
        <w:t>d’instruction (41,6</w:t>
      </w:r>
      <w:r w:rsidRPr="0072397D">
        <w:rPr>
          <w:rFonts w:ascii="Trebuchet MS" w:hAnsi="Trebuchet MS"/>
        </w:rPr>
        <w:t xml:space="preserve">%). On note tout de même que 24,1% </w:t>
      </w:r>
      <w:r w:rsidR="005229D7">
        <w:rPr>
          <w:rFonts w:ascii="Trebuchet MS" w:hAnsi="Trebuchet MS"/>
        </w:rPr>
        <w:t>des ménages s</w:t>
      </w:r>
      <w:r w:rsidRPr="0072397D">
        <w:rPr>
          <w:rFonts w:ascii="Trebuchet MS" w:hAnsi="Trebuchet MS"/>
        </w:rPr>
        <w:t xml:space="preserve">ont </w:t>
      </w:r>
      <w:r w:rsidR="005229D7">
        <w:rPr>
          <w:rFonts w:ascii="Trebuchet MS" w:hAnsi="Trebuchet MS"/>
        </w:rPr>
        <w:t xml:space="preserve">dirigés par des personnes ayant le </w:t>
      </w:r>
      <w:r w:rsidRPr="0072397D">
        <w:rPr>
          <w:rFonts w:ascii="Trebuchet MS" w:hAnsi="Trebuchet MS"/>
        </w:rPr>
        <w:t xml:space="preserve">niveau primaire </w:t>
      </w:r>
      <w:r w:rsidR="005229D7">
        <w:rPr>
          <w:rFonts w:ascii="Trebuchet MS" w:hAnsi="Trebuchet MS"/>
        </w:rPr>
        <w:t xml:space="preserve">contre </w:t>
      </w:r>
      <w:r w:rsidRPr="0072397D">
        <w:rPr>
          <w:rFonts w:ascii="Trebuchet MS" w:hAnsi="Trebuchet MS"/>
        </w:rPr>
        <w:t xml:space="preserve">13,02% </w:t>
      </w:r>
      <w:r w:rsidR="005229D7">
        <w:rPr>
          <w:rFonts w:ascii="Trebuchet MS" w:hAnsi="Trebuchet MS"/>
        </w:rPr>
        <w:t xml:space="preserve">pour ceux dont le chef a un niveau </w:t>
      </w:r>
      <w:r w:rsidRPr="0072397D">
        <w:rPr>
          <w:rFonts w:ascii="Trebuchet MS" w:hAnsi="Trebuchet MS"/>
        </w:rPr>
        <w:t>secondaire 1</w:t>
      </w:r>
      <w:r w:rsidR="00C247B4">
        <w:rPr>
          <w:rFonts w:ascii="Trebuchet MS" w:hAnsi="Trebuchet MS"/>
        </w:rPr>
        <w:t xml:space="preserve"> (6</w:t>
      </w:r>
      <w:r w:rsidR="00C247B4" w:rsidRPr="00C247B4">
        <w:rPr>
          <w:rFonts w:ascii="Trebuchet MS" w:hAnsi="Trebuchet MS"/>
          <w:vertAlign w:val="superscript"/>
        </w:rPr>
        <w:t>ème</w:t>
      </w:r>
      <w:r w:rsidR="00C247B4">
        <w:rPr>
          <w:rFonts w:ascii="Trebuchet MS" w:hAnsi="Trebuchet MS"/>
        </w:rPr>
        <w:t xml:space="preserve"> en 3</w:t>
      </w:r>
      <w:r w:rsidR="00C247B4" w:rsidRPr="00C247B4">
        <w:rPr>
          <w:rFonts w:ascii="Trebuchet MS" w:hAnsi="Trebuchet MS"/>
          <w:vertAlign w:val="superscript"/>
        </w:rPr>
        <w:t>ème</w:t>
      </w:r>
      <w:r w:rsidR="00C247B4">
        <w:rPr>
          <w:rFonts w:ascii="Trebuchet MS" w:hAnsi="Trebuchet MS"/>
        </w:rPr>
        <w:t xml:space="preserve">). La </w:t>
      </w:r>
      <w:r w:rsidRPr="0072397D">
        <w:rPr>
          <w:rFonts w:ascii="Trebuchet MS" w:hAnsi="Trebuchet MS"/>
        </w:rPr>
        <w:t xml:space="preserve">plus faible </w:t>
      </w:r>
      <w:r w:rsidR="00C247B4">
        <w:rPr>
          <w:rFonts w:ascii="Trebuchet MS" w:hAnsi="Trebuchet MS"/>
        </w:rPr>
        <w:t xml:space="preserve">proportion </w:t>
      </w:r>
      <w:r w:rsidRPr="0072397D">
        <w:rPr>
          <w:rFonts w:ascii="Trebuchet MS" w:hAnsi="Trebuchet MS"/>
        </w:rPr>
        <w:t>est enregistré</w:t>
      </w:r>
      <w:r w:rsidR="00C247B4">
        <w:rPr>
          <w:rFonts w:ascii="Trebuchet MS" w:hAnsi="Trebuchet MS"/>
        </w:rPr>
        <w:t>edes ménages dont le chef a un niveau d’étude supérieur (6,0</w:t>
      </w:r>
      <w:r w:rsidR="000F6953">
        <w:rPr>
          <w:rFonts w:ascii="Trebuchet MS" w:hAnsi="Trebuchet MS"/>
        </w:rPr>
        <w:t>%) hormis les « autre » (1,2</w:t>
      </w:r>
      <w:r w:rsidRPr="0072397D">
        <w:rPr>
          <w:rFonts w:ascii="Trebuchet MS" w:hAnsi="Trebuchet MS"/>
        </w:rPr>
        <w:t>%) et « ne sait pas » (2,</w:t>
      </w:r>
      <w:r w:rsidR="000F6953">
        <w:rPr>
          <w:rFonts w:ascii="Trebuchet MS" w:hAnsi="Trebuchet MS"/>
        </w:rPr>
        <w:t>1</w:t>
      </w:r>
      <w:r w:rsidRPr="0072397D">
        <w:rPr>
          <w:rFonts w:ascii="Trebuchet MS" w:hAnsi="Trebuchet MS"/>
        </w:rPr>
        <w:t xml:space="preserve">%). </w:t>
      </w:r>
    </w:p>
    <w:p w:rsidR="00991B33" w:rsidRDefault="00991B33" w:rsidP="009A6C1E">
      <w:pPr>
        <w:keepNext/>
        <w:spacing w:after="0"/>
        <w:rPr>
          <w:rFonts w:ascii="Trebuchet MS" w:hAnsi="Trebuchet MS"/>
          <w:b/>
          <w:sz w:val="20"/>
        </w:rPr>
      </w:pPr>
      <w:bookmarkStart w:id="67" w:name="_Toc426359255"/>
      <w:r w:rsidRPr="00991B33">
        <w:rPr>
          <w:rFonts w:ascii="Trebuchet MS" w:hAnsi="Trebuchet MS"/>
          <w:b/>
          <w:sz w:val="20"/>
        </w:rPr>
        <w:t xml:space="preserve">Graphique </w:t>
      </w:r>
      <w:r w:rsidR="00792500" w:rsidRPr="00991B33">
        <w:rPr>
          <w:rFonts w:ascii="Trebuchet MS" w:hAnsi="Trebuchet MS"/>
          <w:b/>
          <w:sz w:val="20"/>
        </w:rPr>
        <w:fldChar w:fldCharType="begin"/>
      </w:r>
      <w:r w:rsidRPr="00991B33">
        <w:rPr>
          <w:rFonts w:ascii="Trebuchet MS" w:hAnsi="Trebuchet MS"/>
          <w:b/>
          <w:sz w:val="20"/>
        </w:rPr>
        <w:instrText xml:space="preserve"> SEQ Graphique \* ARABIC </w:instrText>
      </w:r>
      <w:r w:rsidR="00792500" w:rsidRPr="00991B33">
        <w:rPr>
          <w:rFonts w:ascii="Trebuchet MS" w:hAnsi="Trebuchet MS"/>
          <w:b/>
          <w:sz w:val="20"/>
        </w:rPr>
        <w:fldChar w:fldCharType="separate"/>
      </w:r>
      <w:r w:rsidR="00605DE4">
        <w:rPr>
          <w:rFonts w:ascii="Trebuchet MS" w:hAnsi="Trebuchet MS"/>
          <w:b/>
          <w:noProof/>
          <w:sz w:val="20"/>
        </w:rPr>
        <w:t>1</w:t>
      </w:r>
      <w:r w:rsidR="00792500" w:rsidRPr="00991B33">
        <w:rPr>
          <w:rFonts w:ascii="Trebuchet MS" w:hAnsi="Trebuchet MS"/>
          <w:b/>
          <w:sz w:val="20"/>
        </w:rPr>
        <w:fldChar w:fldCharType="end"/>
      </w:r>
      <w:r w:rsidRPr="00991B33">
        <w:rPr>
          <w:rFonts w:ascii="Trebuchet MS" w:hAnsi="Trebuchet MS"/>
          <w:b/>
          <w:sz w:val="20"/>
        </w:rPr>
        <w:t>: Répartition des ménages selon le plus haut niveau d'étude de leur chef</w:t>
      </w:r>
      <w:bookmarkEnd w:id="67"/>
    </w:p>
    <w:p w:rsidR="00EE1F54" w:rsidRPr="00EE1F54" w:rsidRDefault="00EE1F54" w:rsidP="009A6C1E">
      <w:pPr>
        <w:keepNext/>
        <w:spacing w:after="0"/>
        <w:rPr>
          <w:rFonts w:ascii="Trebuchet MS" w:hAnsi="Trebuchet MS"/>
        </w:rPr>
      </w:pPr>
      <w:r w:rsidRPr="00A320A6">
        <w:rPr>
          <w:rFonts w:ascii="Trebuchet MS" w:hAnsi="Trebuchet MS"/>
          <w:noProof/>
          <w:lang w:eastAsia="fr-FR"/>
        </w:rPr>
        <w:drawing>
          <wp:inline distT="0" distB="0" distL="0" distR="0">
            <wp:extent cx="4648200" cy="2743200"/>
            <wp:effectExtent l="0" t="0" r="19050" b="19050"/>
            <wp:docPr id="3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E1F54" w:rsidRPr="009A6C1E" w:rsidRDefault="00EE1F54" w:rsidP="009A6C1E">
      <w:pPr>
        <w:keepNext/>
        <w:spacing w:after="0"/>
        <w:rPr>
          <w:rFonts w:ascii="Trebuchet MS" w:hAnsi="Trebuchet MS" w:cs="Arial"/>
          <w:b/>
          <w:bCs/>
          <w:color w:val="000000"/>
        </w:rPr>
      </w:pPr>
      <w:r w:rsidRPr="009A6C1E">
        <w:rPr>
          <w:rFonts w:ascii="Trebuchet MS" w:hAnsi="Trebuchet MS" w:cs="Arial"/>
          <w:b/>
          <w:bCs/>
          <w:color w:val="000000"/>
          <w:sz w:val="20"/>
        </w:rPr>
        <w:t>Source : ECEB, INSAE, 2015</w:t>
      </w:r>
    </w:p>
    <w:p w:rsidR="00EE1F54" w:rsidRDefault="00EE1F54" w:rsidP="00B811FE">
      <w:pPr>
        <w:spacing w:after="0"/>
        <w:rPr>
          <w:rFonts w:ascii="Trebuchet MS" w:hAnsi="Trebuchet MS" w:cs="Arial"/>
          <w:bCs/>
          <w:color w:val="000000"/>
        </w:rPr>
      </w:pPr>
    </w:p>
    <w:p w:rsidR="00E91273" w:rsidRPr="00D64E6F" w:rsidRDefault="00D64E6F" w:rsidP="00F03E08">
      <w:pPr>
        <w:pStyle w:val="Titre4"/>
      </w:pPr>
      <w:bookmarkStart w:id="68" w:name="_Toc425961630"/>
      <w:bookmarkStart w:id="69" w:name="_Toc426359424"/>
      <w:r>
        <w:t xml:space="preserve">1.2.1. </w:t>
      </w:r>
      <w:r w:rsidR="00E91273" w:rsidRPr="00D64E6F">
        <w:t>Structure des ménages selon le plus haut niveau d’instruction du chef et suivant le département et le milieu de résidence</w:t>
      </w:r>
      <w:bookmarkEnd w:id="68"/>
      <w:bookmarkEnd w:id="69"/>
    </w:p>
    <w:p w:rsidR="00B811FE" w:rsidRPr="0072397D" w:rsidRDefault="00B811FE" w:rsidP="00025637">
      <w:pPr>
        <w:jc w:val="both"/>
        <w:rPr>
          <w:rFonts w:ascii="Trebuchet MS" w:hAnsi="Trebuchet MS"/>
        </w:rPr>
      </w:pPr>
      <w:r w:rsidRPr="0072397D">
        <w:rPr>
          <w:rFonts w:ascii="Trebuchet MS" w:hAnsi="Trebuchet MS"/>
        </w:rPr>
        <w:t xml:space="preserve">Au sein des ménages </w:t>
      </w:r>
      <w:r w:rsidR="0006064E">
        <w:rPr>
          <w:rFonts w:ascii="Trebuchet MS" w:hAnsi="Trebuchet MS"/>
        </w:rPr>
        <w:t>dont leur chef n</w:t>
      </w:r>
      <w:r w:rsidRPr="0072397D">
        <w:rPr>
          <w:rFonts w:ascii="Trebuchet MS" w:hAnsi="Trebuchet MS"/>
        </w:rPr>
        <w:t>’</w:t>
      </w:r>
      <w:r w:rsidR="0006064E">
        <w:rPr>
          <w:rFonts w:ascii="Trebuchet MS" w:hAnsi="Trebuchet MS"/>
        </w:rPr>
        <w:t>a</w:t>
      </w:r>
      <w:r w:rsidRPr="0072397D">
        <w:rPr>
          <w:rFonts w:ascii="Trebuchet MS" w:hAnsi="Trebuchet MS"/>
        </w:rPr>
        <w:t xml:space="preserve"> aucun niveau </w:t>
      </w:r>
      <w:r w:rsidR="0006064E">
        <w:rPr>
          <w:rFonts w:ascii="Trebuchet MS" w:hAnsi="Trebuchet MS"/>
        </w:rPr>
        <w:t>d’étude</w:t>
      </w:r>
      <w:r w:rsidRPr="0072397D">
        <w:rPr>
          <w:rFonts w:ascii="Trebuchet MS" w:hAnsi="Trebuchet MS"/>
        </w:rPr>
        <w:t>, les départements où sont enregistrés les pourcentages les plus</w:t>
      </w:r>
      <w:r w:rsidR="00C30E7B">
        <w:rPr>
          <w:rFonts w:ascii="Trebuchet MS" w:hAnsi="Trebuchet MS"/>
        </w:rPr>
        <w:t xml:space="preserve"> élevés sont le Borgou (15,</w:t>
      </w:r>
      <w:r w:rsidR="00D84A0A">
        <w:rPr>
          <w:rFonts w:ascii="Trebuchet MS" w:hAnsi="Trebuchet MS"/>
        </w:rPr>
        <w:t>5</w:t>
      </w:r>
      <w:r w:rsidR="00C30E7B">
        <w:rPr>
          <w:rFonts w:ascii="Trebuchet MS" w:hAnsi="Trebuchet MS"/>
        </w:rPr>
        <w:t xml:space="preserve">%), </w:t>
      </w:r>
      <w:r w:rsidR="00D84A0A">
        <w:rPr>
          <w:rFonts w:ascii="Trebuchet MS" w:hAnsi="Trebuchet MS"/>
        </w:rPr>
        <w:t>l’Alibori (14,4</w:t>
      </w:r>
      <w:r w:rsidRPr="0072397D">
        <w:rPr>
          <w:rFonts w:ascii="Trebuchet MS" w:hAnsi="Trebuchet MS"/>
        </w:rPr>
        <w:t xml:space="preserve">%) et la Donga (11,2%). </w:t>
      </w:r>
      <w:r w:rsidR="00D84A0A">
        <w:rPr>
          <w:rFonts w:ascii="Trebuchet MS" w:hAnsi="Trebuchet MS"/>
        </w:rPr>
        <w:t xml:space="preserve">Très peu de ménages dont le chef n’a aucun niveau d’instruction se retrouvent </w:t>
      </w:r>
      <w:r w:rsidRPr="0072397D">
        <w:rPr>
          <w:rFonts w:ascii="Trebuchet MS" w:hAnsi="Trebuchet MS"/>
        </w:rPr>
        <w:t xml:space="preserve">dans le Littoral (1,0%). Au niveau </w:t>
      </w:r>
      <w:r w:rsidR="00D84A0A">
        <w:rPr>
          <w:rFonts w:ascii="Trebuchet MS" w:hAnsi="Trebuchet MS"/>
        </w:rPr>
        <w:t xml:space="preserve">des ménages dont leur chef n’a que </w:t>
      </w:r>
      <w:r w:rsidRPr="0072397D">
        <w:rPr>
          <w:rFonts w:ascii="Trebuchet MS" w:hAnsi="Trebuchet MS"/>
        </w:rPr>
        <w:t>le niveau d’étude primaire</w:t>
      </w:r>
      <w:r w:rsidR="00D84A0A">
        <w:rPr>
          <w:rFonts w:ascii="Trebuchet MS" w:hAnsi="Trebuchet MS"/>
        </w:rPr>
        <w:t>,</w:t>
      </w:r>
      <w:r w:rsidRPr="0072397D">
        <w:rPr>
          <w:rFonts w:ascii="Trebuchet MS" w:hAnsi="Trebuchet MS"/>
        </w:rPr>
        <w:t xml:space="preserve"> les </w:t>
      </w:r>
      <w:r w:rsidR="00D84A0A">
        <w:rPr>
          <w:rFonts w:ascii="Trebuchet MS" w:hAnsi="Trebuchet MS"/>
        </w:rPr>
        <w:t xml:space="preserve">part les plus </w:t>
      </w:r>
      <w:r w:rsidRPr="0072397D">
        <w:rPr>
          <w:rFonts w:ascii="Trebuchet MS" w:hAnsi="Trebuchet MS"/>
        </w:rPr>
        <w:t>élevé</w:t>
      </w:r>
      <w:r w:rsidR="00D84A0A">
        <w:rPr>
          <w:rFonts w:ascii="Trebuchet MS" w:hAnsi="Trebuchet MS"/>
        </w:rPr>
        <w:t>e</w:t>
      </w:r>
      <w:r w:rsidRPr="0072397D">
        <w:rPr>
          <w:rFonts w:ascii="Trebuchet MS" w:hAnsi="Trebuchet MS"/>
        </w:rPr>
        <w:t>s sont enregistré</w:t>
      </w:r>
      <w:r w:rsidR="00D84A0A">
        <w:rPr>
          <w:rFonts w:ascii="Trebuchet MS" w:hAnsi="Trebuchet MS"/>
        </w:rPr>
        <w:t>e</w:t>
      </w:r>
      <w:r w:rsidRPr="0072397D">
        <w:rPr>
          <w:rFonts w:ascii="Trebuchet MS" w:hAnsi="Trebuchet MS"/>
        </w:rPr>
        <w:t>s dans l</w:t>
      </w:r>
      <w:r w:rsidR="00D84A0A">
        <w:rPr>
          <w:rFonts w:ascii="Trebuchet MS" w:hAnsi="Trebuchet MS"/>
        </w:rPr>
        <w:t>es départements de l’Ouémé (14,8</w:t>
      </w:r>
      <w:r w:rsidRPr="0072397D">
        <w:rPr>
          <w:rFonts w:ascii="Trebuchet MS" w:hAnsi="Trebuchet MS"/>
        </w:rPr>
        <w:t>%), des Colli</w:t>
      </w:r>
      <w:r w:rsidR="00D84A0A">
        <w:rPr>
          <w:rFonts w:ascii="Trebuchet MS" w:hAnsi="Trebuchet MS"/>
        </w:rPr>
        <w:t xml:space="preserve">nes (12,6%) et le Zou (12,4%) ; </w:t>
      </w:r>
      <w:r w:rsidRPr="0072397D">
        <w:rPr>
          <w:rFonts w:ascii="Trebuchet MS" w:hAnsi="Trebuchet MS"/>
        </w:rPr>
        <w:t xml:space="preserve">l’Alibori </w:t>
      </w:r>
      <w:r w:rsidR="00D84A0A">
        <w:rPr>
          <w:rFonts w:ascii="Trebuchet MS" w:hAnsi="Trebuchet MS"/>
        </w:rPr>
        <w:t xml:space="preserve">vient en dernière position avec une part relativement faible </w:t>
      </w:r>
      <w:r w:rsidRPr="0072397D">
        <w:rPr>
          <w:rFonts w:ascii="Trebuchet MS" w:hAnsi="Trebuchet MS"/>
        </w:rPr>
        <w:t>(3,</w:t>
      </w:r>
      <w:r w:rsidR="00D84A0A">
        <w:rPr>
          <w:rFonts w:ascii="Trebuchet MS" w:hAnsi="Trebuchet MS"/>
        </w:rPr>
        <w:t>7</w:t>
      </w:r>
      <w:r w:rsidRPr="0072397D">
        <w:rPr>
          <w:rFonts w:ascii="Trebuchet MS" w:hAnsi="Trebuchet MS"/>
        </w:rPr>
        <w:t xml:space="preserve">%). </w:t>
      </w:r>
    </w:p>
    <w:p w:rsidR="00B811FE" w:rsidRPr="0072397D" w:rsidRDefault="00B811FE" w:rsidP="00DE6BA4">
      <w:pPr>
        <w:jc w:val="both"/>
        <w:rPr>
          <w:rFonts w:ascii="Trebuchet MS" w:hAnsi="Trebuchet MS"/>
        </w:rPr>
      </w:pPr>
      <w:r w:rsidRPr="0072397D">
        <w:rPr>
          <w:rFonts w:ascii="Trebuchet MS" w:hAnsi="Trebuchet MS"/>
        </w:rPr>
        <w:t xml:space="preserve">En ce qui concerne </w:t>
      </w:r>
      <w:r w:rsidR="009244C7">
        <w:rPr>
          <w:rFonts w:ascii="Trebuchet MS" w:hAnsi="Trebuchet MS"/>
        </w:rPr>
        <w:t xml:space="preserve">les ménages dont leur </w:t>
      </w:r>
      <w:r w:rsidR="00D84A0A">
        <w:rPr>
          <w:rFonts w:ascii="Trebuchet MS" w:hAnsi="Trebuchet MS"/>
        </w:rPr>
        <w:t>chef</w:t>
      </w:r>
      <w:r w:rsidR="009244C7">
        <w:rPr>
          <w:rFonts w:ascii="Trebuchet MS" w:hAnsi="Trebuchet MS"/>
        </w:rPr>
        <w:t xml:space="preserve"> a atteint</w:t>
      </w:r>
      <w:r w:rsidR="009244C7" w:rsidRPr="0072397D">
        <w:rPr>
          <w:rFonts w:ascii="Trebuchet MS" w:hAnsi="Trebuchet MS"/>
        </w:rPr>
        <w:t xml:space="preserve"> le niveau d’étude secondaire 1</w:t>
      </w:r>
      <w:r w:rsidRPr="0072397D">
        <w:rPr>
          <w:rFonts w:ascii="Trebuchet MS" w:hAnsi="Trebuchet MS"/>
        </w:rPr>
        <w:t xml:space="preserve">, </w:t>
      </w:r>
      <w:r w:rsidR="009244C7">
        <w:rPr>
          <w:rFonts w:ascii="Trebuchet MS" w:hAnsi="Trebuchet MS"/>
        </w:rPr>
        <w:t xml:space="preserve">les départements du </w:t>
      </w:r>
      <w:r w:rsidRPr="0072397D">
        <w:rPr>
          <w:rFonts w:ascii="Trebuchet MS" w:hAnsi="Trebuchet MS"/>
        </w:rPr>
        <w:t>Mono</w:t>
      </w:r>
      <w:r w:rsidR="009244C7">
        <w:rPr>
          <w:rFonts w:ascii="Trebuchet MS" w:hAnsi="Trebuchet MS"/>
        </w:rPr>
        <w:t xml:space="preserve"> (</w:t>
      </w:r>
      <w:r w:rsidR="009244C7" w:rsidRPr="0072397D">
        <w:rPr>
          <w:rFonts w:ascii="Trebuchet MS" w:hAnsi="Trebuchet MS"/>
        </w:rPr>
        <w:t>14,</w:t>
      </w:r>
      <w:r w:rsidR="009244C7">
        <w:rPr>
          <w:rFonts w:ascii="Trebuchet MS" w:hAnsi="Trebuchet MS"/>
        </w:rPr>
        <w:t>1</w:t>
      </w:r>
      <w:r w:rsidR="009244C7" w:rsidRPr="0072397D">
        <w:rPr>
          <w:rFonts w:ascii="Trebuchet MS" w:hAnsi="Trebuchet MS"/>
        </w:rPr>
        <w:t>%</w:t>
      </w:r>
      <w:r w:rsidR="009244C7">
        <w:rPr>
          <w:rFonts w:ascii="Trebuchet MS" w:hAnsi="Trebuchet MS"/>
        </w:rPr>
        <w:t>)</w:t>
      </w:r>
      <w:r w:rsidRPr="0072397D">
        <w:rPr>
          <w:rFonts w:ascii="Trebuchet MS" w:hAnsi="Trebuchet MS"/>
        </w:rPr>
        <w:t xml:space="preserve">, </w:t>
      </w:r>
      <w:r w:rsidR="009244C7">
        <w:rPr>
          <w:rFonts w:ascii="Trebuchet MS" w:hAnsi="Trebuchet MS"/>
        </w:rPr>
        <w:t xml:space="preserve">de </w:t>
      </w:r>
      <w:r w:rsidRPr="0072397D">
        <w:rPr>
          <w:rFonts w:ascii="Trebuchet MS" w:hAnsi="Trebuchet MS"/>
        </w:rPr>
        <w:t xml:space="preserve">l’Atlantique </w:t>
      </w:r>
      <w:r w:rsidR="009244C7">
        <w:rPr>
          <w:rFonts w:ascii="Trebuchet MS" w:hAnsi="Trebuchet MS"/>
        </w:rPr>
        <w:t>(</w:t>
      </w:r>
      <w:r w:rsidR="009244C7" w:rsidRPr="0072397D">
        <w:rPr>
          <w:rFonts w:ascii="Trebuchet MS" w:hAnsi="Trebuchet MS"/>
        </w:rPr>
        <w:t>13,</w:t>
      </w:r>
      <w:r w:rsidR="009244C7">
        <w:rPr>
          <w:rFonts w:ascii="Trebuchet MS" w:hAnsi="Trebuchet MS"/>
        </w:rPr>
        <w:t xml:space="preserve">3%) </w:t>
      </w:r>
      <w:r w:rsidRPr="0072397D">
        <w:rPr>
          <w:rFonts w:ascii="Trebuchet MS" w:hAnsi="Trebuchet MS"/>
        </w:rPr>
        <w:t>et</w:t>
      </w:r>
      <w:r w:rsidR="009244C7">
        <w:rPr>
          <w:rFonts w:ascii="Trebuchet MS" w:hAnsi="Trebuchet MS"/>
        </w:rPr>
        <w:t xml:space="preserve"> de</w:t>
      </w:r>
      <w:r w:rsidRPr="0072397D">
        <w:rPr>
          <w:rFonts w:ascii="Trebuchet MS" w:hAnsi="Trebuchet MS"/>
        </w:rPr>
        <w:t xml:space="preserve"> l’Ouémé</w:t>
      </w:r>
      <w:r w:rsidR="009244C7">
        <w:rPr>
          <w:rFonts w:ascii="Trebuchet MS" w:hAnsi="Trebuchet MS"/>
        </w:rPr>
        <w:t>(12,9</w:t>
      </w:r>
      <w:r w:rsidR="009244C7" w:rsidRPr="0072397D">
        <w:rPr>
          <w:rFonts w:ascii="Trebuchet MS" w:hAnsi="Trebuchet MS"/>
        </w:rPr>
        <w:t>%</w:t>
      </w:r>
      <w:r w:rsidR="009244C7">
        <w:rPr>
          <w:rFonts w:ascii="Trebuchet MS" w:hAnsi="Trebuchet MS"/>
        </w:rPr>
        <w:t>)</w:t>
      </w:r>
      <w:r w:rsidRPr="0072397D">
        <w:rPr>
          <w:rFonts w:ascii="Trebuchet MS" w:hAnsi="Trebuchet MS"/>
        </w:rPr>
        <w:t xml:space="preserve">enregistrent les </w:t>
      </w:r>
      <w:r w:rsidR="009244C7">
        <w:rPr>
          <w:rFonts w:ascii="Trebuchet MS" w:hAnsi="Trebuchet MS"/>
        </w:rPr>
        <w:t>parts les plus</w:t>
      </w:r>
      <w:r w:rsidRPr="0072397D">
        <w:rPr>
          <w:rFonts w:ascii="Trebuchet MS" w:hAnsi="Trebuchet MS"/>
        </w:rPr>
        <w:t xml:space="preserve"> élevé</w:t>
      </w:r>
      <w:r w:rsidR="009244C7">
        <w:rPr>
          <w:rFonts w:ascii="Trebuchet MS" w:hAnsi="Trebuchet MS"/>
        </w:rPr>
        <w:t>e</w:t>
      </w:r>
      <w:r w:rsidRPr="0072397D">
        <w:rPr>
          <w:rFonts w:ascii="Trebuchet MS" w:hAnsi="Trebuchet MS"/>
        </w:rPr>
        <w:t>s</w:t>
      </w:r>
      <w:r w:rsidR="009244C7">
        <w:rPr>
          <w:rFonts w:ascii="Trebuchet MS" w:hAnsi="Trebuchet MS"/>
        </w:rPr>
        <w:t xml:space="preserve"> alors que </w:t>
      </w:r>
      <w:r w:rsidRPr="0072397D">
        <w:rPr>
          <w:rFonts w:ascii="Trebuchet MS" w:hAnsi="Trebuchet MS"/>
        </w:rPr>
        <w:t>l</w:t>
      </w:r>
      <w:r w:rsidR="009244C7">
        <w:rPr>
          <w:rFonts w:ascii="Trebuchet MS" w:hAnsi="Trebuchet MS"/>
        </w:rPr>
        <w:t>a</w:t>
      </w:r>
      <w:r w:rsidRPr="0072397D">
        <w:rPr>
          <w:rFonts w:ascii="Trebuchet MS" w:hAnsi="Trebuchet MS"/>
        </w:rPr>
        <w:t xml:space="preserve"> plus faible </w:t>
      </w:r>
      <w:r w:rsidR="009244C7">
        <w:rPr>
          <w:rFonts w:ascii="Trebuchet MS" w:hAnsi="Trebuchet MS"/>
        </w:rPr>
        <w:t xml:space="preserve">partest enregistrée </w:t>
      </w:r>
      <w:r w:rsidRPr="0072397D">
        <w:rPr>
          <w:rFonts w:ascii="Trebuchet MS" w:hAnsi="Trebuchet MS"/>
        </w:rPr>
        <w:t xml:space="preserve">dans le département du plateau (2,8%). </w:t>
      </w:r>
      <w:r w:rsidR="009244C7">
        <w:rPr>
          <w:rFonts w:ascii="Trebuchet MS" w:hAnsi="Trebuchet MS"/>
        </w:rPr>
        <w:t xml:space="preserve">Par rapport </w:t>
      </w:r>
      <w:r w:rsidRPr="0072397D">
        <w:rPr>
          <w:rFonts w:ascii="Trebuchet MS" w:hAnsi="Trebuchet MS"/>
        </w:rPr>
        <w:t>au</w:t>
      </w:r>
      <w:r w:rsidR="009244C7">
        <w:rPr>
          <w:rFonts w:ascii="Trebuchet MS" w:hAnsi="Trebuchet MS"/>
        </w:rPr>
        <w:t>x ménages dont leur chef a atteint</w:t>
      </w:r>
      <w:r w:rsidR="009244C7" w:rsidRPr="0072397D">
        <w:rPr>
          <w:rFonts w:ascii="Trebuchet MS" w:hAnsi="Trebuchet MS"/>
        </w:rPr>
        <w:t xml:space="preserve"> le niveau d’étude</w:t>
      </w:r>
      <w:r w:rsidRPr="0072397D">
        <w:rPr>
          <w:rFonts w:ascii="Trebuchet MS" w:hAnsi="Trebuchet MS"/>
        </w:rPr>
        <w:t xml:space="preserve"> secondaire 2, le Littoral (16,</w:t>
      </w:r>
      <w:r w:rsidR="009244C7">
        <w:rPr>
          <w:rFonts w:ascii="Trebuchet MS" w:hAnsi="Trebuchet MS"/>
        </w:rPr>
        <w:t>4</w:t>
      </w:r>
      <w:r w:rsidRPr="0072397D">
        <w:rPr>
          <w:rFonts w:ascii="Trebuchet MS" w:hAnsi="Trebuchet MS"/>
        </w:rPr>
        <w:t xml:space="preserve">%), l’Ouémé (12,6%) et le Zou (12,6%) enregistrent les </w:t>
      </w:r>
      <w:r w:rsidR="009244C7">
        <w:rPr>
          <w:rFonts w:ascii="Trebuchet MS" w:hAnsi="Trebuchet MS"/>
        </w:rPr>
        <w:t>part</w:t>
      </w:r>
      <w:r w:rsidRPr="0072397D">
        <w:rPr>
          <w:rFonts w:ascii="Trebuchet MS" w:hAnsi="Trebuchet MS"/>
        </w:rPr>
        <w:t xml:space="preserve"> les plus élevé</w:t>
      </w:r>
      <w:r w:rsidR="009244C7">
        <w:rPr>
          <w:rFonts w:ascii="Trebuchet MS" w:hAnsi="Trebuchet MS"/>
        </w:rPr>
        <w:t xml:space="preserve">es ; </w:t>
      </w:r>
      <w:r w:rsidRPr="0072397D">
        <w:rPr>
          <w:rFonts w:ascii="Trebuchet MS" w:hAnsi="Trebuchet MS"/>
        </w:rPr>
        <w:t>le département du plateau (1,</w:t>
      </w:r>
      <w:r w:rsidR="009244C7">
        <w:rPr>
          <w:rFonts w:ascii="Trebuchet MS" w:hAnsi="Trebuchet MS"/>
        </w:rPr>
        <w:t>9</w:t>
      </w:r>
      <w:r w:rsidRPr="0072397D">
        <w:rPr>
          <w:rFonts w:ascii="Trebuchet MS" w:hAnsi="Trebuchet MS"/>
        </w:rPr>
        <w:t>%)</w:t>
      </w:r>
      <w:r w:rsidR="009244C7">
        <w:rPr>
          <w:rFonts w:ascii="Trebuchet MS" w:hAnsi="Trebuchet MS"/>
        </w:rPr>
        <w:t xml:space="preserve"> a enregistré </w:t>
      </w:r>
      <w:r w:rsidR="009244C7" w:rsidRPr="0072397D">
        <w:rPr>
          <w:rFonts w:ascii="Trebuchet MS" w:hAnsi="Trebuchet MS"/>
        </w:rPr>
        <w:t>l</w:t>
      </w:r>
      <w:r w:rsidR="009244C7">
        <w:rPr>
          <w:rFonts w:ascii="Trebuchet MS" w:hAnsi="Trebuchet MS"/>
        </w:rPr>
        <w:t xml:space="preserve">a </w:t>
      </w:r>
      <w:r w:rsidR="009244C7" w:rsidRPr="0072397D">
        <w:rPr>
          <w:rFonts w:ascii="Trebuchet MS" w:hAnsi="Trebuchet MS"/>
        </w:rPr>
        <w:t>plus faible p</w:t>
      </w:r>
      <w:r w:rsidR="009244C7">
        <w:rPr>
          <w:rFonts w:ascii="Trebuchet MS" w:hAnsi="Trebuchet MS"/>
        </w:rPr>
        <w:t>art</w:t>
      </w:r>
      <w:r w:rsidRPr="0072397D">
        <w:rPr>
          <w:rFonts w:ascii="Trebuchet MS" w:hAnsi="Trebuchet MS"/>
        </w:rPr>
        <w:t xml:space="preserve">. Pour ce qui est </w:t>
      </w:r>
      <w:r w:rsidR="00CF66A4">
        <w:rPr>
          <w:rFonts w:ascii="Trebuchet MS" w:hAnsi="Trebuchet MS"/>
        </w:rPr>
        <w:t xml:space="preserve">des ménages dont leur chef a atteint le </w:t>
      </w:r>
      <w:r w:rsidRPr="0072397D">
        <w:rPr>
          <w:rFonts w:ascii="Trebuchet MS" w:hAnsi="Trebuchet MS"/>
        </w:rPr>
        <w:t>niveau d’étude supérieur, les départements où sont enregistré</w:t>
      </w:r>
      <w:r w:rsidR="009244C7">
        <w:rPr>
          <w:rFonts w:ascii="Trebuchet MS" w:hAnsi="Trebuchet MS"/>
        </w:rPr>
        <w:t>e</w:t>
      </w:r>
      <w:r w:rsidRPr="0072397D">
        <w:rPr>
          <w:rFonts w:ascii="Trebuchet MS" w:hAnsi="Trebuchet MS"/>
        </w:rPr>
        <w:t xml:space="preserve">s les </w:t>
      </w:r>
      <w:r w:rsidR="009244C7">
        <w:rPr>
          <w:rFonts w:ascii="Trebuchet MS" w:hAnsi="Trebuchet MS"/>
        </w:rPr>
        <w:t xml:space="preserve">parts </w:t>
      </w:r>
      <w:r w:rsidRPr="0072397D">
        <w:rPr>
          <w:rFonts w:ascii="Trebuchet MS" w:hAnsi="Trebuchet MS"/>
        </w:rPr>
        <w:t>les plus élevé</w:t>
      </w:r>
      <w:r w:rsidR="009244C7">
        <w:rPr>
          <w:rFonts w:ascii="Trebuchet MS" w:hAnsi="Trebuchet MS"/>
        </w:rPr>
        <w:t>e</w:t>
      </w:r>
      <w:r w:rsidRPr="0072397D">
        <w:rPr>
          <w:rFonts w:ascii="Trebuchet MS" w:hAnsi="Trebuchet MS"/>
        </w:rPr>
        <w:t xml:space="preserve">s </w:t>
      </w:r>
      <w:r w:rsidR="009244C7">
        <w:rPr>
          <w:rFonts w:ascii="Trebuchet MS" w:hAnsi="Trebuchet MS"/>
        </w:rPr>
        <w:t xml:space="preserve">de ménage </w:t>
      </w:r>
      <w:r w:rsidRPr="0072397D">
        <w:rPr>
          <w:rFonts w:ascii="Trebuchet MS" w:hAnsi="Trebuchet MS"/>
        </w:rPr>
        <w:t>sont le Littoral (25,0%)</w:t>
      </w:r>
      <w:r w:rsidR="009244C7">
        <w:rPr>
          <w:rFonts w:ascii="Trebuchet MS" w:hAnsi="Trebuchet MS"/>
        </w:rPr>
        <w:t>,</w:t>
      </w:r>
      <w:r w:rsidRPr="0072397D">
        <w:rPr>
          <w:rFonts w:ascii="Trebuchet MS" w:hAnsi="Trebuchet MS"/>
        </w:rPr>
        <w:t xml:space="preserve"> l’Ouémé (17,1%) et l’Atlantique (14,0%)</w:t>
      </w:r>
      <w:r w:rsidR="009244C7">
        <w:rPr>
          <w:rFonts w:ascii="Trebuchet MS" w:hAnsi="Trebuchet MS"/>
        </w:rPr>
        <w:t> ; la Donga (0,9</w:t>
      </w:r>
      <w:r w:rsidRPr="0072397D">
        <w:rPr>
          <w:rFonts w:ascii="Trebuchet MS" w:hAnsi="Trebuchet MS"/>
        </w:rPr>
        <w:t>%)</w:t>
      </w:r>
      <w:r w:rsidR="009244C7">
        <w:rPr>
          <w:rFonts w:ascii="Trebuchet MS" w:hAnsi="Trebuchet MS"/>
        </w:rPr>
        <w:t xml:space="preserve"> tient la queue </w:t>
      </w:r>
      <w:r w:rsidR="00B064C8">
        <w:rPr>
          <w:rFonts w:ascii="Trebuchet MS" w:hAnsi="Trebuchet MS"/>
        </w:rPr>
        <w:t xml:space="preserve">avec </w:t>
      </w:r>
      <w:r w:rsidR="00CF66A4">
        <w:rPr>
          <w:rFonts w:ascii="Trebuchet MS" w:hAnsi="Trebuchet MS"/>
        </w:rPr>
        <w:t xml:space="preserve">une part </w:t>
      </w:r>
      <w:r w:rsidR="009244C7" w:rsidRPr="0072397D">
        <w:rPr>
          <w:rFonts w:ascii="Trebuchet MS" w:hAnsi="Trebuchet MS"/>
        </w:rPr>
        <w:t>faible</w:t>
      </w:r>
      <w:r w:rsidRPr="0072397D">
        <w:rPr>
          <w:rFonts w:ascii="Trebuchet MS" w:hAnsi="Trebuchet MS"/>
        </w:rPr>
        <w:t>.</w:t>
      </w:r>
    </w:p>
    <w:p w:rsidR="00EE1F54" w:rsidRPr="00F755F5" w:rsidRDefault="00EE1F54" w:rsidP="00F755F5">
      <w:pPr>
        <w:spacing w:after="0" w:line="240" w:lineRule="auto"/>
        <w:rPr>
          <w:rFonts w:ascii="Trebuchet MS" w:hAnsi="Trebuchet MS" w:cs="Arial"/>
          <w:b/>
          <w:bCs/>
          <w:sz w:val="18"/>
          <w:szCs w:val="20"/>
        </w:rPr>
      </w:pPr>
      <w:bookmarkStart w:id="70" w:name="_Toc425955981"/>
      <w:bookmarkStart w:id="71" w:name="_Toc426359322"/>
      <w:r w:rsidRPr="00F755F5">
        <w:rPr>
          <w:rFonts w:ascii="Trebuchet MS" w:hAnsi="Trebuchet MS"/>
          <w:b/>
          <w:sz w:val="20"/>
        </w:rPr>
        <w:t xml:space="preserve">Tableau </w:t>
      </w:r>
      <w:r w:rsidR="00792500" w:rsidRPr="00F755F5">
        <w:rPr>
          <w:rFonts w:ascii="Trebuchet MS" w:hAnsi="Trebuchet MS"/>
          <w:b/>
          <w:sz w:val="20"/>
        </w:rPr>
        <w:fldChar w:fldCharType="begin"/>
      </w:r>
      <w:r w:rsidRPr="00F755F5">
        <w:rPr>
          <w:rFonts w:ascii="Trebuchet MS" w:hAnsi="Trebuchet MS"/>
          <w:b/>
          <w:sz w:val="20"/>
        </w:rPr>
        <w:instrText xml:space="preserve"> SEQ Tableau \* ARABIC </w:instrText>
      </w:r>
      <w:r w:rsidR="00792500" w:rsidRPr="00F755F5">
        <w:rPr>
          <w:rFonts w:ascii="Trebuchet MS" w:hAnsi="Trebuchet MS"/>
          <w:b/>
          <w:sz w:val="20"/>
        </w:rPr>
        <w:fldChar w:fldCharType="separate"/>
      </w:r>
      <w:r w:rsidR="00556962">
        <w:rPr>
          <w:rFonts w:ascii="Trebuchet MS" w:hAnsi="Trebuchet MS"/>
          <w:b/>
          <w:noProof/>
          <w:sz w:val="20"/>
        </w:rPr>
        <w:t>3</w:t>
      </w:r>
      <w:r w:rsidR="00792500" w:rsidRPr="00F755F5">
        <w:rPr>
          <w:rFonts w:ascii="Trebuchet MS" w:hAnsi="Trebuchet MS"/>
          <w:b/>
          <w:sz w:val="20"/>
        </w:rPr>
        <w:fldChar w:fldCharType="end"/>
      </w:r>
      <w:r w:rsidRPr="00F755F5">
        <w:rPr>
          <w:rFonts w:ascii="Trebuchet MS" w:hAnsi="Trebuchet MS"/>
          <w:b/>
          <w:color w:val="000000"/>
          <w:sz w:val="20"/>
        </w:rPr>
        <w:t>: Répartition (%) des ménages enquêtés suivant le département et le milieu de résidence</w:t>
      </w:r>
      <w:bookmarkEnd w:id="70"/>
      <w:bookmarkEnd w:id="71"/>
    </w:p>
    <w:tbl>
      <w:tblPr>
        <w:tblW w:w="4739"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980"/>
        <w:gridCol w:w="737"/>
        <w:gridCol w:w="712"/>
        <w:gridCol w:w="739"/>
        <w:gridCol w:w="718"/>
        <w:gridCol w:w="716"/>
        <w:gridCol w:w="712"/>
        <w:gridCol w:w="714"/>
        <w:gridCol w:w="711"/>
        <w:gridCol w:w="992"/>
      </w:tblGrid>
      <w:tr w:rsidR="00CF66A4" w:rsidRPr="0072397D" w:rsidTr="00BA7920">
        <w:trPr>
          <w:cantSplit/>
          <w:trHeight w:val="1284"/>
          <w:tblHeader/>
        </w:trPr>
        <w:tc>
          <w:tcPr>
            <w:tcW w:w="1134" w:type="pct"/>
            <w:tcBorders>
              <w:top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CF086A">
            <w:pP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422"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Maternelle</w:t>
            </w:r>
          </w:p>
        </w:tc>
        <w:tc>
          <w:tcPr>
            <w:tcW w:w="408" w:type="pct"/>
            <w:tcBorders>
              <w:top w:val="double" w:sz="4" w:space="0" w:color="auto"/>
            </w:tcBorders>
            <w:shd w:val="clear" w:color="auto" w:fill="auto"/>
            <w:textDirection w:val="btLr"/>
            <w:vAlign w:val="center"/>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Primaire</w:t>
            </w:r>
          </w:p>
        </w:tc>
        <w:tc>
          <w:tcPr>
            <w:tcW w:w="423" w:type="pct"/>
            <w:tcBorders>
              <w:top w:val="double" w:sz="4" w:space="0" w:color="auto"/>
            </w:tcBorders>
            <w:shd w:val="clear" w:color="auto" w:fill="auto"/>
            <w:textDirection w:val="btLr"/>
            <w:vAlign w:val="center"/>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Secondaire1</w:t>
            </w:r>
          </w:p>
        </w:tc>
        <w:tc>
          <w:tcPr>
            <w:tcW w:w="411"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Secondaire2</w:t>
            </w:r>
          </w:p>
        </w:tc>
        <w:tc>
          <w:tcPr>
            <w:tcW w:w="410"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Supérieur</w:t>
            </w:r>
          </w:p>
        </w:tc>
        <w:tc>
          <w:tcPr>
            <w:tcW w:w="408"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Aucun</w:t>
            </w:r>
          </w:p>
        </w:tc>
        <w:tc>
          <w:tcPr>
            <w:tcW w:w="409"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Autre</w:t>
            </w:r>
          </w:p>
        </w:tc>
        <w:tc>
          <w:tcPr>
            <w:tcW w:w="407"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NSP</w:t>
            </w:r>
          </w:p>
        </w:tc>
        <w:tc>
          <w:tcPr>
            <w:tcW w:w="568" w:type="pct"/>
            <w:tcBorders>
              <w:top w:val="double" w:sz="4" w:space="0" w:color="auto"/>
            </w:tcBorders>
            <w:shd w:val="clear" w:color="auto" w:fill="auto"/>
            <w:noWrap/>
            <w:vAlign w:val="center"/>
            <w:hideMark/>
          </w:tcPr>
          <w:p w:rsidR="00B811FE" w:rsidRPr="00BA7920" w:rsidRDefault="00B811FE" w:rsidP="00EE1F54">
            <w:pPr>
              <w:jc w:val="center"/>
              <w:rPr>
                <w:rFonts w:ascii="Trebuchet MS" w:hAnsi="Trebuchet MS" w:cs="Arial"/>
                <w:b/>
                <w:color w:val="000000"/>
                <w:sz w:val="18"/>
                <w:szCs w:val="18"/>
              </w:rPr>
            </w:pPr>
            <w:r w:rsidRPr="00BA7920">
              <w:rPr>
                <w:rFonts w:ascii="Trebuchet MS" w:hAnsi="Trebuchet MS" w:cs="Arial"/>
                <w:b/>
                <w:color w:val="000000"/>
                <w:sz w:val="18"/>
                <w:szCs w:val="18"/>
              </w:rPr>
              <w:t>Effectif des ménages</w:t>
            </w:r>
          </w:p>
        </w:tc>
      </w:tr>
      <w:tr w:rsidR="00B811FE" w:rsidRPr="00EE1F54" w:rsidTr="00EE1F54">
        <w:trPr>
          <w:trHeight w:val="237"/>
        </w:trPr>
        <w:tc>
          <w:tcPr>
            <w:tcW w:w="1134" w:type="pct"/>
            <w:tcBorders>
              <w:top w:val="single" w:sz="4" w:space="0" w:color="auto"/>
              <w:bottom w:val="nil"/>
            </w:tcBorders>
            <w:shd w:val="clear" w:color="auto" w:fill="auto"/>
            <w:noWrap/>
            <w:vAlign w:val="bottom"/>
            <w:hideMark/>
          </w:tcPr>
          <w:p w:rsidR="00B811FE" w:rsidRPr="00EE1F54" w:rsidRDefault="00B811FE" w:rsidP="00CF086A">
            <w:pPr>
              <w:spacing w:after="0" w:line="240" w:lineRule="auto"/>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 xml:space="preserve">Département </w:t>
            </w:r>
          </w:p>
        </w:tc>
        <w:tc>
          <w:tcPr>
            <w:tcW w:w="422"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8"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23"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11"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10"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8"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9"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7"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568" w:type="pct"/>
            <w:tcBorders>
              <w:top w:val="single" w:sz="4" w:space="0" w:color="auto"/>
              <w:bottom w:val="nil"/>
            </w:tcBorders>
            <w:shd w:val="clear" w:color="auto" w:fill="auto"/>
            <w:noWrap/>
            <w:vAlign w:val="bottom"/>
            <w:hideMark/>
          </w:tcPr>
          <w:p w:rsidR="00B811FE" w:rsidRPr="00EE1F54" w:rsidRDefault="00B811FE" w:rsidP="00BA7920">
            <w:pPr>
              <w:spacing w:after="0" w:line="240" w:lineRule="auto"/>
              <w:jc w:val="center"/>
              <w:rPr>
                <w:rFonts w:ascii="Trebuchet MS" w:eastAsia="Times New Roman" w:hAnsi="Trebuchet MS" w:cs="Arial"/>
                <w:b/>
                <w:color w:val="000000"/>
                <w:sz w:val="20"/>
                <w:szCs w:val="20"/>
                <w:lang w:eastAsia="fr-FR"/>
              </w:rPr>
            </w:pPr>
          </w:p>
        </w:tc>
      </w:tr>
      <w:tr w:rsidR="00B811FE" w:rsidRPr="00C247B4" w:rsidTr="00EE1F54">
        <w:trPr>
          <w:trHeight w:val="237"/>
        </w:trPr>
        <w:tc>
          <w:tcPr>
            <w:tcW w:w="1134" w:type="pct"/>
            <w:tcBorders>
              <w:top w:val="nil"/>
            </w:tcBorders>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ALIBORI</w:t>
            </w:r>
          </w:p>
        </w:tc>
        <w:tc>
          <w:tcPr>
            <w:tcW w:w="422"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3,7</w:t>
            </w:r>
          </w:p>
        </w:tc>
        <w:tc>
          <w:tcPr>
            <w:tcW w:w="423"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5,4</w:t>
            </w:r>
          </w:p>
        </w:tc>
        <w:tc>
          <w:tcPr>
            <w:tcW w:w="411"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3,7</w:t>
            </w:r>
          </w:p>
        </w:tc>
        <w:tc>
          <w:tcPr>
            <w:tcW w:w="410"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408"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14,4</w:t>
            </w:r>
          </w:p>
        </w:tc>
        <w:tc>
          <w:tcPr>
            <w:tcW w:w="409"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11,1</w:t>
            </w:r>
          </w:p>
        </w:tc>
        <w:tc>
          <w:tcPr>
            <w:tcW w:w="407"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w:t>
            </w:r>
          </w:p>
        </w:tc>
        <w:tc>
          <w:tcPr>
            <w:tcW w:w="568" w:type="pct"/>
            <w:tcBorders>
              <w:top w:val="nil"/>
            </w:tcBorders>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ATACORA</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19,6</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7,1</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7,0</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6,7</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7,5</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6,1</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8,9</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277</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ATLANTIQUE</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4,2</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11,2</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13,3</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10,1</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316</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BORGOU</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5,0</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6,4</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4,1</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15,5</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347</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COLLINES</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22,2</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8,3</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9,7</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14,9</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3,8</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COUFFO</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31,8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3,6</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5,2</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0,4</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4,9</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8,9</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215</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DONGA</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8,0</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7,0</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0,9</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11,2</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308</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LITTORAL</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7,6</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9,5</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16,4</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15,2</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252</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MONO</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8,8</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14,1</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10,8</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6,1</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6,2</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3,8</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306</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OUEME</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6,4</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14,8</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12,9</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17,1</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5,4</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13,3</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27,9</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399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PLATEAU</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2,8</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1,9</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4,3</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144</w:t>
            </w:r>
          </w:p>
        </w:tc>
      </w:tr>
      <w:tr w:rsidR="00B811FE" w:rsidRPr="00C247B4" w:rsidTr="00EE1F54">
        <w:trPr>
          <w:trHeight w:val="237"/>
        </w:trPr>
        <w:tc>
          <w:tcPr>
            <w:tcW w:w="1134" w:type="pct"/>
            <w:tcBorders>
              <w:bottom w:val="nil"/>
            </w:tcBorders>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ZOU</w:t>
            </w:r>
          </w:p>
        </w:tc>
        <w:tc>
          <w:tcPr>
            <w:tcW w:w="422"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w:t>
            </w:r>
          </w:p>
        </w:tc>
        <w:tc>
          <w:tcPr>
            <w:tcW w:w="408"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12,4</w:t>
            </w:r>
          </w:p>
        </w:tc>
        <w:tc>
          <w:tcPr>
            <w:tcW w:w="423"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9,7</w:t>
            </w:r>
          </w:p>
        </w:tc>
        <w:tc>
          <w:tcPr>
            <w:tcW w:w="411"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10"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11,8</w:t>
            </w:r>
          </w:p>
        </w:tc>
        <w:tc>
          <w:tcPr>
            <w:tcW w:w="408"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11,7</w:t>
            </w:r>
          </w:p>
        </w:tc>
        <w:tc>
          <w:tcPr>
            <w:tcW w:w="409"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46,7</w:t>
            </w:r>
          </w:p>
        </w:tc>
        <w:tc>
          <w:tcPr>
            <w:tcW w:w="407"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25,3</w:t>
            </w:r>
          </w:p>
        </w:tc>
        <w:tc>
          <w:tcPr>
            <w:tcW w:w="568" w:type="pct"/>
            <w:tcBorders>
              <w:bottom w:val="nil"/>
            </w:tcBorders>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454</w:t>
            </w:r>
          </w:p>
        </w:tc>
      </w:tr>
      <w:tr w:rsidR="00E91273" w:rsidRPr="00EE1F54" w:rsidTr="00EE1F54">
        <w:trPr>
          <w:trHeight w:val="227"/>
        </w:trPr>
        <w:tc>
          <w:tcPr>
            <w:tcW w:w="1134" w:type="pct"/>
            <w:tcBorders>
              <w:top w:val="nil"/>
              <w:bottom w:val="nil"/>
            </w:tcBorders>
            <w:shd w:val="clear" w:color="auto" w:fill="auto"/>
            <w:noWrap/>
            <w:vAlign w:val="bottom"/>
            <w:hideMark/>
          </w:tcPr>
          <w:p w:rsidR="00E91273" w:rsidRPr="00EE1F54" w:rsidRDefault="00E91273" w:rsidP="00407065">
            <w:pPr>
              <w:spacing w:after="0"/>
              <w:rPr>
                <w:rFonts w:ascii="Trebuchet MS" w:hAnsi="Trebuchet MS" w:cs="Arial"/>
                <w:b/>
                <w:color w:val="000000"/>
                <w:sz w:val="20"/>
                <w:szCs w:val="20"/>
              </w:rPr>
            </w:pPr>
            <w:r w:rsidRPr="00EE1F54">
              <w:rPr>
                <w:rFonts w:ascii="Trebuchet MS" w:hAnsi="Trebuchet MS" w:cs="Arial"/>
                <w:b/>
                <w:color w:val="000000"/>
                <w:sz w:val="20"/>
                <w:szCs w:val="20"/>
              </w:rPr>
              <w:t>Milieu de résidence</w:t>
            </w:r>
          </w:p>
        </w:tc>
        <w:tc>
          <w:tcPr>
            <w:tcW w:w="422"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23"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11"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10"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9"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7"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56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r>
      <w:tr w:rsidR="00E91273" w:rsidRPr="0072397D" w:rsidTr="00EE1F54">
        <w:trPr>
          <w:trHeight w:val="227"/>
        </w:trPr>
        <w:tc>
          <w:tcPr>
            <w:tcW w:w="1134" w:type="pct"/>
            <w:tcBorders>
              <w:top w:val="nil"/>
            </w:tcBorders>
            <w:shd w:val="clear" w:color="auto" w:fill="auto"/>
            <w:noWrap/>
            <w:vAlign w:val="bottom"/>
            <w:hideMark/>
          </w:tcPr>
          <w:p w:rsidR="00E91273" w:rsidRPr="0072397D" w:rsidRDefault="00E91273" w:rsidP="00407065">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Urbain</w:t>
            </w:r>
          </w:p>
        </w:tc>
        <w:tc>
          <w:tcPr>
            <w:tcW w:w="422"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31,8</w:t>
            </w:r>
          </w:p>
        </w:tc>
        <w:tc>
          <w:tcPr>
            <w:tcW w:w="40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42,5</w:t>
            </w:r>
          </w:p>
        </w:tc>
        <w:tc>
          <w:tcPr>
            <w:tcW w:w="423"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52,7</w:t>
            </w:r>
          </w:p>
        </w:tc>
        <w:tc>
          <w:tcPr>
            <w:tcW w:w="411"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61,7</w:t>
            </w:r>
          </w:p>
        </w:tc>
        <w:tc>
          <w:tcPr>
            <w:tcW w:w="410"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72,4</w:t>
            </w:r>
          </w:p>
        </w:tc>
        <w:tc>
          <w:tcPr>
            <w:tcW w:w="40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30,5</w:t>
            </w:r>
          </w:p>
        </w:tc>
        <w:tc>
          <w:tcPr>
            <w:tcW w:w="409"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24,4</w:t>
            </w:r>
          </w:p>
        </w:tc>
        <w:tc>
          <w:tcPr>
            <w:tcW w:w="407"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46,8</w:t>
            </w:r>
          </w:p>
        </w:tc>
        <w:tc>
          <w:tcPr>
            <w:tcW w:w="56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1577</w:t>
            </w:r>
          </w:p>
        </w:tc>
      </w:tr>
      <w:tr w:rsidR="00E91273" w:rsidRPr="0072397D" w:rsidTr="00EE1F54">
        <w:trPr>
          <w:trHeight w:val="227"/>
        </w:trPr>
        <w:tc>
          <w:tcPr>
            <w:tcW w:w="1134" w:type="pct"/>
            <w:shd w:val="clear" w:color="auto" w:fill="auto"/>
            <w:noWrap/>
            <w:vAlign w:val="bottom"/>
            <w:hideMark/>
          </w:tcPr>
          <w:p w:rsidR="00E91273" w:rsidRPr="0072397D" w:rsidRDefault="00E91273" w:rsidP="00407065">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Rural</w:t>
            </w:r>
          </w:p>
        </w:tc>
        <w:tc>
          <w:tcPr>
            <w:tcW w:w="422"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68,3</w:t>
            </w:r>
          </w:p>
        </w:tc>
        <w:tc>
          <w:tcPr>
            <w:tcW w:w="40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57,6</w:t>
            </w:r>
          </w:p>
        </w:tc>
        <w:tc>
          <w:tcPr>
            <w:tcW w:w="423"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47,3</w:t>
            </w:r>
          </w:p>
        </w:tc>
        <w:tc>
          <w:tcPr>
            <w:tcW w:w="411"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38,3</w:t>
            </w:r>
          </w:p>
        </w:tc>
        <w:tc>
          <w:tcPr>
            <w:tcW w:w="410"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27,6</w:t>
            </w:r>
          </w:p>
        </w:tc>
        <w:tc>
          <w:tcPr>
            <w:tcW w:w="40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69,5</w:t>
            </w:r>
          </w:p>
        </w:tc>
        <w:tc>
          <w:tcPr>
            <w:tcW w:w="409"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75,6</w:t>
            </w:r>
          </w:p>
        </w:tc>
        <w:tc>
          <w:tcPr>
            <w:tcW w:w="407"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53,2</w:t>
            </w:r>
          </w:p>
        </w:tc>
        <w:tc>
          <w:tcPr>
            <w:tcW w:w="56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2239</w:t>
            </w:r>
          </w:p>
        </w:tc>
      </w:tr>
      <w:tr w:rsidR="00B811FE" w:rsidRPr="00EE1F54" w:rsidTr="00EE1F54">
        <w:trPr>
          <w:trHeight w:val="237"/>
        </w:trPr>
        <w:tc>
          <w:tcPr>
            <w:tcW w:w="1134" w:type="pct"/>
            <w:tcBorders>
              <w:top w:val="single" w:sz="4" w:space="0" w:color="auto"/>
              <w:bottom w:val="double" w:sz="4" w:space="0" w:color="auto"/>
            </w:tcBorders>
            <w:shd w:val="clear" w:color="auto" w:fill="auto"/>
            <w:noWrap/>
            <w:vAlign w:val="bottom"/>
            <w:hideMark/>
          </w:tcPr>
          <w:p w:rsidR="00B811FE" w:rsidRPr="00EE1F54" w:rsidRDefault="00B811FE" w:rsidP="00CF086A">
            <w:pPr>
              <w:spacing w:after="0" w:line="240" w:lineRule="auto"/>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Ensemble</w:t>
            </w:r>
          </w:p>
        </w:tc>
        <w:tc>
          <w:tcPr>
            <w:tcW w:w="422"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23"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11"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10"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9"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7"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56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3816</w:t>
            </w:r>
          </w:p>
        </w:tc>
      </w:tr>
      <w:tr w:rsidR="00CF66A4" w:rsidRPr="00C247B4" w:rsidTr="00EE1F54">
        <w:trPr>
          <w:trHeight w:val="237"/>
        </w:trPr>
        <w:tc>
          <w:tcPr>
            <w:tcW w:w="5000" w:type="pct"/>
            <w:gridSpan w:val="10"/>
            <w:tcBorders>
              <w:top w:val="double" w:sz="4" w:space="0" w:color="auto"/>
              <w:bottom w:val="nil"/>
            </w:tcBorders>
            <w:shd w:val="clear" w:color="auto" w:fill="auto"/>
            <w:noWrap/>
            <w:vAlign w:val="bottom"/>
            <w:hideMark/>
          </w:tcPr>
          <w:p w:rsidR="00CF66A4" w:rsidRPr="00F755F5" w:rsidRDefault="00CF66A4" w:rsidP="00CF66A4">
            <w:pPr>
              <w:spacing w:after="0" w:line="240" w:lineRule="auto"/>
              <w:rPr>
                <w:rFonts w:ascii="Trebuchet MS" w:eastAsia="Times New Roman" w:hAnsi="Trebuchet MS" w:cs="Arial"/>
                <w:b/>
                <w:color w:val="000000"/>
                <w:sz w:val="20"/>
                <w:szCs w:val="20"/>
                <w:lang w:eastAsia="fr-FR"/>
              </w:rPr>
            </w:pPr>
            <w:r w:rsidRPr="00F755F5">
              <w:rPr>
                <w:rFonts w:ascii="Trebuchet MS" w:hAnsi="Trebuchet MS" w:cs="Arial"/>
                <w:b/>
                <w:bCs/>
                <w:color w:val="000000"/>
                <w:sz w:val="20"/>
              </w:rPr>
              <w:t>Source : ECEB, INSAE, 2015</w:t>
            </w:r>
          </w:p>
        </w:tc>
      </w:tr>
    </w:tbl>
    <w:p w:rsidR="00B811FE" w:rsidRPr="0072397D" w:rsidRDefault="00B811FE" w:rsidP="00B811FE">
      <w:pPr>
        <w:rPr>
          <w:rFonts w:ascii="Trebuchet MS" w:hAnsi="Trebuchet MS"/>
        </w:rPr>
      </w:pPr>
    </w:p>
    <w:p w:rsidR="00B811FE" w:rsidRPr="0072397D" w:rsidRDefault="00B064C8" w:rsidP="00025637">
      <w:pPr>
        <w:jc w:val="both"/>
        <w:rPr>
          <w:rFonts w:ascii="Trebuchet MS" w:hAnsi="Trebuchet MS"/>
        </w:rPr>
      </w:pPr>
      <w:r>
        <w:rPr>
          <w:rFonts w:ascii="Trebuchet MS" w:hAnsi="Trebuchet MS"/>
        </w:rPr>
        <w:t>Par ailleurs, l</w:t>
      </w:r>
      <w:r w:rsidR="00B811FE" w:rsidRPr="0072397D">
        <w:rPr>
          <w:rFonts w:ascii="Trebuchet MS" w:hAnsi="Trebuchet MS"/>
        </w:rPr>
        <w:t xml:space="preserve">’analyse </w:t>
      </w:r>
      <w:r>
        <w:rPr>
          <w:rFonts w:ascii="Trebuchet MS" w:hAnsi="Trebuchet MS"/>
        </w:rPr>
        <w:t xml:space="preserve">selon le milieu de résidence montre que plus de la moitié des ménages dont leur chef a un niveau </w:t>
      </w:r>
      <w:r w:rsidR="00B811FE" w:rsidRPr="0072397D">
        <w:rPr>
          <w:rFonts w:ascii="Trebuchet MS" w:hAnsi="Trebuchet MS"/>
        </w:rPr>
        <w:t>d’étude secondaire 1 (52,7</w:t>
      </w:r>
      <w:r w:rsidR="00F845D1">
        <w:rPr>
          <w:rFonts w:ascii="Trebuchet MS" w:hAnsi="Trebuchet MS"/>
        </w:rPr>
        <w:t>%) se retrouvent en milieu urbain. Il en est de même pour les niveaux secondaire 2 (61,7</w:t>
      </w:r>
      <w:r w:rsidR="00B811FE" w:rsidRPr="0072397D">
        <w:rPr>
          <w:rFonts w:ascii="Trebuchet MS" w:hAnsi="Trebuchet MS"/>
        </w:rPr>
        <w:t xml:space="preserve">%) et </w:t>
      </w:r>
      <w:r w:rsidR="00F845D1">
        <w:rPr>
          <w:rFonts w:ascii="Trebuchet MS" w:hAnsi="Trebuchet MS"/>
        </w:rPr>
        <w:t>supérieur (72,4</w:t>
      </w:r>
      <w:r w:rsidR="00B811FE" w:rsidRPr="0072397D">
        <w:rPr>
          <w:rFonts w:ascii="Trebuchet MS" w:hAnsi="Trebuchet MS"/>
        </w:rPr>
        <w:t xml:space="preserve">%). </w:t>
      </w:r>
    </w:p>
    <w:p w:rsidR="00E91273" w:rsidRPr="009A6C1E" w:rsidRDefault="00E91273" w:rsidP="009A6C1E">
      <w:pPr>
        <w:spacing w:after="0"/>
        <w:rPr>
          <w:rFonts w:ascii="Trebuchet MS" w:hAnsi="Trebuchet MS"/>
        </w:rPr>
      </w:pPr>
    </w:p>
    <w:p w:rsidR="00E91273" w:rsidRPr="00162221" w:rsidRDefault="00D64E6F" w:rsidP="00F03E08">
      <w:pPr>
        <w:pStyle w:val="Titre4"/>
        <w:rPr>
          <w:i/>
        </w:rPr>
      </w:pPr>
      <w:bookmarkStart w:id="72" w:name="_Toc425961631"/>
      <w:bookmarkStart w:id="73" w:name="_Toc426359425"/>
      <w:r>
        <w:t xml:space="preserve">1.2.2. </w:t>
      </w:r>
      <w:r w:rsidR="00E91273" w:rsidRPr="00D64E6F">
        <w:t xml:space="preserve">Structure des ménages selon le plus haut niveau d’instruction du chef et </w:t>
      </w:r>
      <w:r w:rsidR="006210E4" w:rsidRPr="00D64E6F">
        <w:t xml:space="preserve">suivant </w:t>
      </w:r>
      <w:r w:rsidR="00EF32E3" w:rsidRPr="00D64E6F">
        <w:t>leur sexe et leur âge</w:t>
      </w:r>
      <w:bookmarkEnd w:id="72"/>
      <w:bookmarkEnd w:id="73"/>
    </w:p>
    <w:p w:rsidR="00377391" w:rsidRDefault="00EF32E3" w:rsidP="00025637">
      <w:pPr>
        <w:jc w:val="both"/>
        <w:rPr>
          <w:rFonts w:ascii="Trebuchet MS" w:hAnsi="Trebuchet MS"/>
        </w:rPr>
      </w:pPr>
      <w:r>
        <w:rPr>
          <w:rFonts w:ascii="Trebuchet MS" w:hAnsi="Trebuchet MS"/>
        </w:rPr>
        <w:t xml:space="preserve">Les résultats du tableau ci-après montrent que </w:t>
      </w:r>
      <w:r w:rsidR="00B811FE" w:rsidRPr="0072397D">
        <w:rPr>
          <w:rFonts w:ascii="Trebuchet MS" w:hAnsi="Trebuchet MS"/>
        </w:rPr>
        <w:t>que</w:t>
      </w:r>
      <w:r>
        <w:rPr>
          <w:rFonts w:ascii="Trebuchet MS" w:hAnsi="Trebuchet MS"/>
        </w:rPr>
        <w:t>l que</w:t>
      </w:r>
      <w:r w:rsidR="00B811FE" w:rsidRPr="0072397D">
        <w:rPr>
          <w:rFonts w:ascii="Trebuchet MS" w:hAnsi="Trebuchet MS"/>
        </w:rPr>
        <w:t xml:space="preserve"> soit le niveau d’étude, les ménages</w:t>
      </w:r>
      <w:r w:rsidR="00F845D1">
        <w:rPr>
          <w:rFonts w:ascii="Trebuchet MS" w:hAnsi="Trebuchet MS"/>
        </w:rPr>
        <w:t xml:space="preserve"> dont leur chef est </w:t>
      </w:r>
      <w:r w:rsidR="00B811FE" w:rsidRPr="0072397D">
        <w:rPr>
          <w:rFonts w:ascii="Trebuchet MS" w:hAnsi="Trebuchet MS"/>
        </w:rPr>
        <w:t xml:space="preserve">de sexe masculin sont majoritaires. </w:t>
      </w:r>
      <w:r>
        <w:rPr>
          <w:rFonts w:ascii="Trebuchet MS" w:hAnsi="Trebuchet MS"/>
        </w:rPr>
        <w:t>En effet,</w:t>
      </w:r>
      <w:r w:rsidR="003B4BED">
        <w:rPr>
          <w:rFonts w:ascii="Trebuchet MS" w:hAnsi="Trebuchet MS"/>
        </w:rPr>
        <w:t xml:space="preserve"> par exemple pour dont leur chef a atteint le n</w:t>
      </w:r>
      <w:r w:rsidR="003B4BED" w:rsidRPr="0072397D">
        <w:rPr>
          <w:rFonts w:ascii="Trebuchet MS" w:hAnsi="Trebuchet MS"/>
        </w:rPr>
        <w:t>iveau d’étude supérieur</w:t>
      </w:r>
      <w:r w:rsidR="003B4BED">
        <w:rPr>
          <w:rFonts w:ascii="Trebuchet MS" w:hAnsi="Trebuchet MS"/>
        </w:rPr>
        <w:t xml:space="preserve">, ce tableau révèle que </w:t>
      </w:r>
      <w:r>
        <w:rPr>
          <w:rFonts w:ascii="Trebuchet MS" w:hAnsi="Trebuchet MS"/>
        </w:rPr>
        <w:t xml:space="preserve">neuf (9)ménages sur dix (10) </w:t>
      </w:r>
      <w:r w:rsidR="003B4BED">
        <w:rPr>
          <w:rFonts w:ascii="Trebuchet MS" w:hAnsi="Trebuchet MS"/>
        </w:rPr>
        <w:t>sont dirigés par des hommes</w:t>
      </w:r>
      <w:r w:rsidR="00B811FE" w:rsidRPr="0072397D">
        <w:rPr>
          <w:rFonts w:ascii="Trebuchet MS" w:hAnsi="Trebuchet MS"/>
        </w:rPr>
        <w:t xml:space="preserve">. </w:t>
      </w:r>
    </w:p>
    <w:p w:rsidR="00B811FE" w:rsidRDefault="00B811FE" w:rsidP="00025637">
      <w:pPr>
        <w:jc w:val="both"/>
        <w:rPr>
          <w:rFonts w:ascii="Trebuchet MS" w:hAnsi="Trebuchet MS"/>
        </w:rPr>
      </w:pPr>
      <w:r w:rsidRPr="0072397D">
        <w:rPr>
          <w:rFonts w:ascii="Trebuchet MS" w:hAnsi="Trebuchet MS"/>
        </w:rPr>
        <w:t>En ce qui concerne la répartition selon le groupe d’âge</w:t>
      </w:r>
      <w:r w:rsidR="00377391">
        <w:rPr>
          <w:rFonts w:ascii="Trebuchet MS" w:hAnsi="Trebuchet MS"/>
        </w:rPr>
        <w:t xml:space="preserve"> pour chaque niveau d’étude des chefs de ménage</w:t>
      </w:r>
      <w:r w:rsidRPr="0072397D">
        <w:rPr>
          <w:rFonts w:ascii="Trebuchet MS" w:hAnsi="Trebuchet MS"/>
        </w:rPr>
        <w:t xml:space="preserve">, les </w:t>
      </w:r>
      <w:r w:rsidR="00377391">
        <w:rPr>
          <w:rFonts w:ascii="Trebuchet MS" w:hAnsi="Trebuchet MS"/>
        </w:rPr>
        <w:t>part</w:t>
      </w:r>
      <w:r w:rsidRPr="0072397D">
        <w:rPr>
          <w:rFonts w:ascii="Trebuchet MS" w:hAnsi="Trebuchet MS"/>
        </w:rPr>
        <w:t xml:space="preserve"> les plus élevé</w:t>
      </w:r>
      <w:r w:rsidR="00377391">
        <w:rPr>
          <w:rFonts w:ascii="Trebuchet MS" w:hAnsi="Trebuchet MS"/>
        </w:rPr>
        <w:t>e</w:t>
      </w:r>
      <w:r w:rsidRPr="0072397D">
        <w:rPr>
          <w:rFonts w:ascii="Trebuchet MS" w:hAnsi="Trebuchet MS"/>
        </w:rPr>
        <w:t>s sont observé</w:t>
      </w:r>
      <w:r w:rsidR="00377391">
        <w:rPr>
          <w:rFonts w:ascii="Trebuchet MS" w:hAnsi="Trebuchet MS"/>
        </w:rPr>
        <w:t>e</w:t>
      </w:r>
      <w:r w:rsidRPr="0072397D">
        <w:rPr>
          <w:rFonts w:ascii="Trebuchet MS" w:hAnsi="Trebuchet MS"/>
        </w:rPr>
        <w:t xml:space="preserve">s généralement au niveau des tranches d’âges de 30-39 ans, de 40-49 ans et de 50-59 ans. </w:t>
      </w:r>
      <w:r w:rsidR="00377391">
        <w:rPr>
          <w:rFonts w:ascii="Trebuchet MS" w:hAnsi="Trebuchet MS"/>
        </w:rPr>
        <w:t>Pour chaque niveau d’étude considéré pour les chefs de ménage, l</w:t>
      </w:r>
      <w:r w:rsidRPr="0072397D">
        <w:rPr>
          <w:rFonts w:ascii="Trebuchet MS" w:hAnsi="Trebuchet MS"/>
        </w:rPr>
        <w:t>es ménages dont le</w:t>
      </w:r>
      <w:r w:rsidR="00377391">
        <w:rPr>
          <w:rFonts w:ascii="Trebuchet MS" w:hAnsi="Trebuchet MS"/>
        </w:rPr>
        <w:t>ur</w:t>
      </w:r>
      <w:r w:rsidRPr="0072397D">
        <w:rPr>
          <w:rFonts w:ascii="Trebuchet MS" w:hAnsi="Trebuchet MS"/>
        </w:rPr>
        <w:t xml:space="preserve"> chef a moins de 20 ans et ceux </w:t>
      </w:r>
      <w:r w:rsidR="00377391" w:rsidRPr="0072397D">
        <w:rPr>
          <w:rFonts w:ascii="Trebuchet MS" w:hAnsi="Trebuchet MS"/>
        </w:rPr>
        <w:t>dont le</w:t>
      </w:r>
      <w:r w:rsidR="00377391">
        <w:rPr>
          <w:rFonts w:ascii="Trebuchet MS" w:hAnsi="Trebuchet MS"/>
        </w:rPr>
        <w:t xml:space="preserve">urest dans la </w:t>
      </w:r>
      <w:r w:rsidRPr="0072397D">
        <w:rPr>
          <w:rFonts w:ascii="Trebuchet MS" w:hAnsi="Trebuchet MS"/>
        </w:rPr>
        <w:t xml:space="preserve">tranche d’âge 70 ans et plus sont globalement en faibles proportions. </w:t>
      </w:r>
    </w:p>
    <w:p w:rsidR="009A6C1E" w:rsidRPr="009A6C1E" w:rsidRDefault="009A6C1E" w:rsidP="009A6C1E">
      <w:pPr>
        <w:spacing w:after="0" w:line="240" w:lineRule="auto"/>
        <w:jc w:val="both"/>
        <w:rPr>
          <w:rFonts w:ascii="Trebuchet MS" w:hAnsi="Trebuchet MS"/>
          <w:b/>
        </w:rPr>
      </w:pPr>
      <w:bookmarkStart w:id="74" w:name="_Toc425955982"/>
      <w:bookmarkStart w:id="75" w:name="_Toc426359323"/>
      <w:r w:rsidRPr="009A6C1E">
        <w:rPr>
          <w:rFonts w:ascii="Trebuchet MS" w:hAnsi="Trebuchet MS"/>
          <w:b/>
          <w:sz w:val="20"/>
        </w:rPr>
        <w:t xml:space="preserve">Tableau </w:t>
      </w:r>
      <w:r w:rsidR="00792500" w:rsidRPr="009A6C1E">
        <w:rPr>
          <w:rFonts w:ascii="Trebuchet MS" w:hAnsi="Trebuchet MS"/>
          <w:b/>
          <w:sz w:val="20"/>
        </w:rPr>
        <w:fldChar w:fldCharType="begin"/>
      </w:r>
      <w:r w:rsidRPr="009A6C1E">
        <w:rPr>
          <w:rFonts w:ascii="Trebuchet MS" w:hAnsi="Trebuchet MS"/>
          <w:b/>
          <w:sz w:val="20"/>
        </w:rPr>
        <w:instrText xml:space="preserve"> SEQ Tableau \* ARABIC </w:instrText>
      </w:r>
      <w:r w:rsidR="00792500" w:rsidRPr="009A6C1E">
        <w:rPr>
          <w:rFonts w:ascii="Trebuchet MS" w:hAnsi="Trebuchet MS"/>
          <w:b/>
          <w:sz w:val="20"/>
        </w:rPr>
        <w:fldChar w:fldCharType="separate"/>
      </w:r>
      <w:r w:rsidR="00556962">
        <w:rPr>
          <w:rFonts w:ascii="Trebuchet MS" w:hAnsi="Trebuchet MS"/>
          <w:b/>
          <w:noProof/>
          <w:sz w:val="20"/>
        </w:rPr>
        <w:t>4</w:t>
      </w:r>
      <w:r w:rsidR="00792500" w:rsidRPr="009A6C1E">
        <w:rPr>
          <w:rFonts w:ascii="Trebuchet MS" w:hAnsi="Trebuchet MS"/>
          <w:b/>
          <w:sz w:val="20"/>
        </w:rPr>
        <w:fldChar w:fldCharType="end"/>
      </w:r>
      <w:r w:rsidRPr="009A6C1E">
        <w:rPr>
          <w:rFonts w:ascii="Trebuchet MS" w:hAnsi="Trebuchet MS"/>
          <w:b/>
          <w:color w:val="000000"/>
          <w:sz w:val="20"/>
        </w:rPr>
        <w:t>: Répartition (%) des ménages enquêtés suivant le sexe et l’âge de leur chef</w:t>
      </w:r>
      <w:bookmarkEnd w:id="74"/>
      <w:bookmarkEnd w:id="75"/>
    </w:p>
    <w:tbl>
      <w:tblPr>
        <w:tblW w:w="4578"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747"/>
        <w:gridCol w:w="728"/>
        <w:gridCol w:w="703"/>
        <w:gridCol w:w="709"/>
        <w:gridCol w:w="709"/>
        <w:gridCol w:w="709"/>
        <w:gridCol w:w="712"/>
        <w:gridCol w:w="709"/>
        <w:gridCol w:w="709"/>
        <w:gridCol w:w="1000"/>
      </w:tblGrid>
      <w:tr w:rsidR="00B811FE" w:rsidRPr="009A6C1E" w:rsidTr="009A6C1E">
        <w:trPr>
          <w:cantSplit/>
          <w:trHeight w:val="1225"/>
          <w:tblHeader/>
        </w:trPr>
        <w:tc>
          <w:tcPr>
            <w:tcW w:w="1036" w:type="pct"/>
            <w:tcBorders>
              <w:top w:val="double" w:sz="4" w:space="0" w:color="auto"/>
              <w:bottom w:val="single" w:sz="4" w:space="0" w:color="auto"/>
            </w:tcBorders>
            <w:shd w:val="clear" w:color="auto" w:fill="auto"/>
            <w:noWrap/>
            <w:vAlign w:val="bottom"/>
            <w:hideMark/>
          </w:tcPr>
          <w:p w:rsidR="00B811FE" w:rsidRPr="009A6C1E" w:rsidRDefault="00B811FE" w:rsidP="00CF086A">
            <w:pPr>
              <w:spacing w:after="0" w:line="240" w:lineRule="auto"/>
              <w:rPr>
                <w:rFonts w:ascii="Trebuchet MS" w:eastAsia="Times New Roman" w:hAnsi="Trebuchet MS" w:cs="Arial"/>
                <w:b/>
                <w:color w:val="000000"/>
                <w:sz w:val="20"/>
                <w:szCs w:val="20"/>
                <w:lang w:eastAsia="fr-FR"/>
              </w:rPr>
            </w:pPr>
            <w:r w:rsidRPr="009A6C1E">
              <w:rPr>
                <w:rFonts w:ascii="Trebuchet MS" w:eastAsia="Times New Roman" w:hAnsi="Trebuchet MS" w:cs="Arial"/>
                <w:b/>
                <w:color w:val="000000"/>
                <w:sz w:val="20"/>
                <w:szCs w:val="20"/>
                <w:lang w:eastAsia="fr-FR"/>
              </w:rPr>
              <w:t> </w:t>
            </w:r>
          </w:p>
          <w:p w:rsidR="00B811FE" w:rsidRPr="009A6C1E" w:rsidRDefault="00B811FE" w:rsidP="00CF086A">
            <w:pPr>
              <w:spacing w:after="0"/>
              <w:rPr>
                <w:rFonts w:ascii="Trebuchet MS" w:eastAsia="Times New Roman" w:hAnsi="Trebuchet MS" w:cs="Arial"/>
                <w:b/>
                <w:color w:val="000000"/>
                <w:sz w:val="20"/>
                <w:szCs w:val="20"/>
                <w:lang w:eastAsia="fr-FR"/>
              </w:rPr>
            </w:pPr>
            <w:r w:rsidRPr="009A6C1E">
              <w:rPr>
                <w:rFonts w:ascii="Trebuchet MS" w:eastAsia="Times New Roman" w:hAnsi="Trebuchet MS" w:cs="Arial"/>
                <w:b/>
                <w:color w:val="000000"/>
                <w:sz w:val="20"/>
                <w:szCs w:val="20"/>
                <w:lang w:eastAsia="fr-FR"/>
              </w:rPr>
              <w:t> </w:t>
            </w:r>
          </w:p>
        </w:tc>
        <w:tc>
          <w:tcPr>
            <w:tcW w:w="432"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Maternelle</w:t>
            </w:r>
          </w:p>
        </w:tc>
        <w:tc>
          <w:tcPr>
            <w:tcW w:w="417" w:type="pct"/>
            <w:tcBorders>
              <w:top w:val="double" w:sz="4" w:space="0" w:color="auto"/>
              <w:bottom w:val="single" w:sz="4" w:space="0" w:color="auto"/>
            </w:tcBorders>
            <w:shd w:val="clear" w:color="auto" w:fill="auto"/>
            <w:textDirection w:val="btLr"/>
            <w:vAlign w:val="center"/>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Primaire</w:t>
            </w:r>
          </w:p>
        </w:tc>
        <w:tc>
          <w:tcPr>
            <w:tcW w:w="420" w:type="pct"/>
            <w:tcBorders>
              <w:top w:val="double" w:sz="4" w:space="0" w:color="auto"/>
              <w:bottom w:val="single" w:sz="4" w:space="0" w:color="auto"/>
            </w:tcBorders>
            <w:shd w:val="clear" w:color="auto" w:fill="auto"/>
            <w:textDirection w:val="btLr"/>
            <w:vAlign w:val="center"/>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Secondaire1</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Secondaire2</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Supérieur</w:t>
            </w:r>
          </w:p>
        </w:tc>
        <w:tc>
          <w:tcPr>
            <w:tcW w:w="422"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Aucun</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Autre</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NSP</w:t>
            </w:r>
          </w:p>
        </w:tc>
        <w:tc>
          <w:tcPr>
            <w:tcW w:w="592" w:type="pct"/>
            <w:tcBorders>
              <w:top w:val="double" w:sz="4" w:space="0" w:color="auto"/>
              <w:bottom w:val="single" w:sz="4" w:space="0" w:color="auto"/>
            </w:tcBorders>
            <w:shd w:val="clear" w:color="auto" w:fill="auto"/>
            <w:noWrap/>
            <w:vAlign w:val="center"/>
            <w:hideMark/>
          </w:tcPr>
          <w:p w:rsidR="00B811FE" w:rsidRPr="009A6C1E" w:rsidRDefault="00B811FE" w:rsidP="008D0F75">
            <w:pPr>
              <w:spacing w:after="0"/>
              <w:jc w:val="center"/>
              <w:rPr>
                <w:rFonts w:ascii="Trebuchet MS" w:hAnsi="Trebuchet MS" w:cs="Arial"/>
                <w:b/>
                <w:color w:val="000000"/>
                <w:sz w:val="18"/>
                <w:szCs w:val="18"/>
              </w:rPr>
            </w:pPr>
            <w:r w:rsidRPr="009A6C1E">
              <w:rPr>
                <w:rFonts w:ascii="Trebuchet MS" w:hAnsi="Trebuchet MS" w:cs="Arial"/>
                <w:b/>
                <w:color w:val="000000"/>
                <w:sz w:val="18"/>
                <w:szCs w:val="18"/>
              </w:rPr>
              <w:t>Effectif des ménages</w:t>
            </w:r>
          </w:p>
        </w:tc>
      </w:tr>
      <w:tr w:rsidR="00B811FE" w:rsidRPr="009A6C1E" w:rsidTr="009A6C1E">
        <w:trPr>
          <w:trHeight w:val="227"/>
        </w:trPr>
        <w:tc>
          <w:tcPr>
            <w:tcW w:w="1036" w:type="pct"/>
            <w:tcBorders>
              <w:top w:val="single" w:sz="4" w:space="0" w:color="auto"/>
            </w:tcBorders>
            <w:shd w:val="clear" w:color="auto" w:fill="auto"/>
            <w:noWrap/>
            <w:vAlign w:val="bottom"/>
            <w:hideMark/>
          </w:tcPr>
          <w:p w:rsidR="00B811FE" w:rsidRPr="009A6C1E" w:rsidRDefault="00B811FE" w:rsidP="00833547">
            <w:pPr>
              <w:spacing w:after="0"/>
              <w:rPr>
                <w:rFonts w:ascii="Trebuchet MS" w:hAnsi="Trebuchet MS" w:cs="Arial"/>
                <w:b/>
                <w:color w:val="000000"/>
                <w:sz w:val="20"/>
                <w:szCs w:val="20"/>
              </w:rPr>
            </w:pPr>
            <w:r w:rsidRPr="009A6C1E">
              <w:rPr>
                <w:rFonts w:ascii="Trebuchet MS" w:hAnsi="Trebuchet MS" w:cs="Arial"/>
                <w:b/>
                <w:color w:val="000000"/>
                <w:sz w:val="20"/>
                <w:szCs w:val="20"/>
              </w:rPr>
              <w:t>Sexe du CM</w:t>
            </w:r>
          </w:p>
        </w:tc>
        <w:tc>
          <w:tcPr>
            <w:tcW w:w="43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17"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59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Masculin</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68,3</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84,6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91,2</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74,7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82,3</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3064</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Féminin</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31,8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15,4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12,5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12,6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8,8</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25,3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17,7</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752</w:t>
            </w:r>
          </w:p>
        </w:tc>
      </w:tr>
      <w:tr w:rsidR="00B811FE" w:rsidRPr="009A6C1E" w:rsidTr="009A6C1E">
        <w:trPr>
          <w:trHeight w:val="227"/>
        </w:trPr>
        <w:tc>
          <w:tcPr>
            <w:tcW w:w="1036" w:type="pct"/>
            <w:shd w:val="clear" w:color="auto" w:fill="auto"/>
            <w:noWrap/>
            <w:vAlign w:val="bottom"/>
            <w:hideMark/>
          </w:tcPr>
          <w:p w:rsidR="00B811FE" w:rsidRPr="009A6C1E" w:rsidRDefault="00B811FE" w:rsidP="00833547">
            <w:pPr>
              <w:spacing w:after="0"/>
              <w:rPr>
                <w:rFonts w:ascii="Trebuchet MS" w:hAnsi="Trebuchet MS" w:cs="Arial"/>
                <w:b/>
                <w:color w:val="000000"/>
                <w:sz w:val="20"/>
                <w:szCs w:val="20"/>
              </w:rPr>
            </w:pPr>
            <w:r w:rsidRPr="009A6C1E">
              <w:rPr>
                <w:rFonts w:ascii="Trebuchet MS" w:hAnsi="Trebuchet MS" w:cs="Arial"/>
                <w:b/>
                <w:color w:val="000000"/>
                <w:sz w:val="20"/>
                <w:szCs w:val="20"/>
              </w:rPr>
              <w:t>Groupe d'âge</w:t>
            </w:r>
          </w:p>
        </w:tc>
        <w:tc>
          <w:tcPr>
            <w:tcW w:w="43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17"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59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&lt; 20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20-29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7,9</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27,1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19,7</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2,5</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447</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30-39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24,9</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28,9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23,9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20,5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29,0</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23,6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22,8</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954</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40-49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18,5</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27,4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18,2</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18,9</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22,9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45,6</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948</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50-59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14,3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19,7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13,6</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15,2</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651</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60-69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21,2</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14,5</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8,9</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452</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70 ans et +</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4,4</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11,1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5,1</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346</w:t>
            </w:r>
          </w:p>
        </w:tc>
      </w:tr>
      <w:tr w:rsidR="00B811FE" w:rsidRPr="0072397D" w:rsidTr="009A6C1E">
        <w:trPr>
          <w:trHeight w:val="227"/>
        </w:trPr>
        <w:tc>
          <w:tcPr>
            <w:tcW w:w="1036" w:type="pct"/>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43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17"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59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3816</w:t>
            </w:r>
          </w:p>
        </w:tc>
      </w:tr>
      <w:tr w:rsidR="00F845D1" w:rsidRPr="00C247B4" w:rsidTr="009A6C1E">
        <w:trPr>
          <w:trHeight w:val="237"/>
        </w:trPr>
        <w:tc>
          <w:tcPr>
            <w:tcW w:w="5000" w:type="pct"/>
            <w:gridSpan w:val="10"/>
            <w:tcBorders>
              <w:top w:val="double" w:sz="4" w:space="0" w:color="auto"/>
              <w:bottom w:val="nil"/>
            </w:tcBorders>
            <w:shd w:val="clear" w:color="auto" w:fill="auto"/>
            <w:noWrap/>
            <w:vAlign w:val="bottom"/>
            <w:hideMark/>
          </w:tcPr>
          <w:p w:rsidR="00F845D1" w:rsidRPr="009A6C1E" w:rsidRDefault="00F845D1" w:rsidP="00407065">
            <w:pPr>
              <w:spacing w:after="0" w:line="240" w:lineRule="auto"/>
              <w:rPr>
                <w:rFonts w:ascii="Trebuchet MS" w:eastAsia="Times New Roman" w:hAnsi="Trebuchet MS" w:cs="Arial"/>
                <w:b/>
                <w:color w:val="000000"/>
                <w:sz w:val="20"/>
                <w:szCs w:val="20"/>
                <w:lang w:eastAsia="fr-FR"/>
              </w:rPr>
            </w:pPr>
            <w:r w:rsidRPr="008D0F75">
              <w:rPr>
                <w:rFonts w:ascii="Trebuchet MS" w:hAnsi="Trebuchet MS" w:cs="Arial"/>
                <w:b/>
                <w:bCs/>
                <w:color w:val="000000"/>
                <w:sz w:val="20"/>
              </w:rPr>
              <w:t>Source : ECEB, INSAE, 2015</w:t>
            </w:r>
          </w:p>
        </w:tc>
      </w:tr>
    </w:tbl>
    <w:p w:rsidR="00B811FE" w:rsidRDefault="00B811FE" w:rsidP="00377391">
      <w:pPr>
        <w:spacing w:after="0"/>
        <w:rPr>
          <w:rFonts w:ascii="Trebuchet MS" w:hAnsi="Trebuchet MS"/>
        </w:rPr>
      </w:pPr>
    </w:p>
    <w:p w:rsidR="00B811FE" w:rsidRPr="006C2B3F" w:rsidRDefault="00EE3E92" w:rsidP="00D02C71">
      <w:pPr>
        <w:pStyle w:val="Titre3"/>
      </w:pPr>
      <w:hyperlink w:anchor="_Toc347429978" w:history="1">
        <w:bookmarkStart w:id="76" w:name="_Toc425961632"/>
        <w:bookmarkStart w:id="77" w:name="_Toc426359392"/>
        <w:bookmarkStart w:id="78" w:name="_Toc426359426"/>
        <w:r w:rsidR="00B811FE" w:rsidRPr="006C2B3F">
          <w:t>Taille et composition des ménages</w:t>
        </w:r>
        <w:bookmarkEnd w:id="76"/>
        <w:bookmarkEnd w:id="77"/>
        <w:bookmarkEnd w:id="78"/>
        <w:r w:rsidR="00B811FE" w:rsidRPr="006C2B3F">
          <w:rPr>
            <w:webHidden/>
          </w:rPr>
          <w:tab/>
        </w:r>
      </w:hyperlink>
    </w:p>
    <w:p w:rsidR="00541D8F" w:rsidRPr="00F57BAA" w:rsidRDefault="00541D8F" w:rsidP="00F03E08">
      <w:pPr>
        <w:pStyle w:val="Titre4"/>
        <w:numPr>
          <w:ilvl w:val="2"/>
          <w:numId w:val="6"/>
        </w:numPr>
      </w:pPr>
      <w:bookmarkStart w:id="79" w:name="_Toc425961633"/>
      <w:bookmarkStart w:id="80" w:name="_Toc426359427"/>
      <w:r>
        <w:t>Taille et composition des ménages suivant le département et le milieu de résidence</w:t>
      </w:r>
      <w:bookmarkEnd w:id="79"/>
      <w:bookmarkEnd w:id="80"/>
    </w:p>
    <w:p w:rsidR="00DA36CC" w:rsidRDefault="00DA36CC" w:rsidP="00025637">
      <w:pPr>
        <w:jc w:val="both"/>
        <w:rPr>
          <w:rFonts w:ascii="Trebuchet MS" w:hAnsi="Trebuchet MS"/>
        </w:rPr>
      </w:pPr>
      <w:r>
        <w:rPr>
          <w:rFonts w:ascii="Trebuchet MS" w:hAnsi="Trebuchet MS"/>
        </w:rPr>
        <w:t>L’analyse des résultats du tableau ci-après révèle que la taille moyenne des ménages est estimée à 6,3. En milieu rural, en moyenne 6,6 personnes vivent habituellement dans les ménages. En milieu urbain, cette taille moyenne est estimée à 6,0.</w:t>
      </w:r>
    </w:p>
    <w:p w:rsidR="00B811FE" w:rsidRPr="0072397D" w:rsidRDefault="00F80D85" w:rsidP="00025637">
      <w:pPr>
        <w:jc w:val="both"/>
        <w:rPr>
          <w:rFonts w:ascii="Trebuchet MS" w:hAnsi="Trebuchet MS"/>
        </w:rPr>
      </w:pPr>
      <w:r>
        <w:rPr>
          <w:rFonts w:ascii="Trebuchet MS" w:hAnsi="Trebuchet MS"/>
        </w:rPr>
        <w:t xml:space="preserve">L’analyse suivant le département révèle que, </w:t>
      </w:r>
      <w:r w:rsidR="00B811FE" w:rsidRPr="0072397D">
        <w:rPr>
          <w:rFonts w:ascii="Trebuchet MS" w:hAnsi="Trebuchet MS"/>
        </w:rPr>
        <w:t>la taille moyenne des ménages se trouve plus élevée au niveau du département de l’Alibori (11,7).</w:t>
      </w:r>
      <w:r w:rsidR="00C37073">
        <w:rPr>
          <w:rFonts w:ascii="Trebuchet MS" w:hAnsi="Trebuchet MS"/>
        </w:rPr>
        <w:t xml:space="preserve"> Dans ce même département, la taille moyenne des ménages est estimée à 12,6 en milieu rural contre 9,7 en milieu urbain.</w:t>
      </w:r>
      <w:r w:rsidR="00B811FE" w:rsidRPr="0072397D">
        <w:rPr>
          <w:rFonts w:ascii="Trebuchet MS" w:hAnsi="Trebuchet MS"/>
        </w:rPr>
        <w:t xml:space="preserve"> Cette taille est par contre relativement plus faible d</w:t>
      </w:r>
      <w:r w:rsidR="00541D8F">
        <w:rPr>
          <w:rFonts w:ascii="Trebuchet MS" w:hAnsi="Trebuchet MS"/>
        </w:rPr>
        <w:t>ans le département du Zou (3,9</w:t>
      </w:r>
      <w:r w:rsidR="00C37073">
        <w:rPr>
          <w:rFonts w:ascii="Trebuchet MS" w:hAnsi="Trebuchet MS"/>
        </w:rPr>
        <w:t xml:space="preserve"> dans l’ensemble et 4,1 pour le milieu urbain contre 3,9 pour le milieu rural</w:t>
      </w:r>
      <w:r w:rsidR="00541D8F">
        <w:rPr>
          <w:rFonts w:ascii="Trebuchet MS" w:hAnsi="Trebuchet MS"/>
        </w:rPr>
        <w:t>)</w:t>
      </w:r>
      <w:r w:rsidR="00B811FE" w:rsidRPr="0072397D">
        <w:rPr>
          <w:rFonts w:ascii="Trebuchet MS" w:hAnsi="Trebuchet MS"/>
        </w:rPr>
        <w:t>.</w:t>
      </w:r>
    </w:p>
    <w:p w:rsidR="00C37073" w:rsidRDefault="00C37073" w:rsidP="00025637">
      <w:pPr>
        <w:jc w:val="both"/>
        <w:rPr>
          <w:rFonts w:ascii="Trebuchet MS" w:hAnsi="Trebuchet MS"/>
        </w:rPr>
      </w:pPr>
      <w:r>
        <w:rPr>
          <w:rFonts w:ascii="Trebuchet MS" w:hAnsi="Trebuchet MS"/>
        </w:rPr>
        <w:t>Par ailleurs, d</w:t>
      </w:r>
      <w:r w:rsidR="00B811FE" w:rsidRPr="0072397D">
        <w:rPr>
          <w:rFonts w:ascii="Trebuchet MS" w:hAnsi="Trebuchet MS"/>
        </w:rPr>
        <w:t xml:space="preserve">ans l’ensemble, le nombre moyen d’enfants en dessous de l’âge scolaire dans le ménage s’élève à 1,0. Au niveau départemental, ce nombre est plus élevé dans le département de l’Alibori (2,1) et plus faible dans le Littoral (0,5). </w:t>
      </w:r>
    </w:p>
    <w:p w:rsidR="00B811FE" w:rsidRPr="0072397D" w:rsidRDefault="00B811FE" w:rsidP="00025637">
      <w:pPr>
        <w:jc w:val="both"/>
        <w:rPr>
          <w:rFonts w:ascii="Trebuchet MS" w:hAnsi="Trebuchet MS"/>
        </w:rPr>
      </w:pPr>
      <w:r w:rsidRPr="0072397D">
        <w:rPr>
          <w:rFonts w:ascii="Trebuchet MS" w:hAnsi="Trebuchet MS"/>
        </w:rPr>
        <w:t xml:space="preserve">En ce qui concerne le nombre moyen d'enfants de 6 à 14 ans dans le ménage, il s’élève dans l’ensemble à 1,7. Au niveau départemental, il est plus élevés dans le département de l’Alibori (3,0) et plus faible dans le Zou (0,8). </w:t>
      </w:r>
      <w:r w:rsidR="00C37073">
        <w:rPr>
          <w:rFonts w:ascii="Trebuchet MS" w:hAnsi="Trebuchet MS"/>
        </w:rPr>
        <w:t xml:space="preserve">Les enfants de cette catégorie d’âge </w:t>
      </w:r>
      <w:r w:rsidRPr="0072397D">
        <w:rPr>
          <w:rFonts w:ascii="Trebuchet MS" w:hAnsi="Trebuchet MS"/>
        </w:rPr>
        <w:t xml:space="preserve">fréquentant ou ayant fréquenté </w:t>
      </w:r>
      <w:r w:rsidR="009A7AB6">
        <w:rPr>
          <w:rFonts w:ascii="Trebuchet MS" w:hAnsi="Trebuchet MS"/>
        </w:rPr>
        <w:t xml:space="preserve">par </w:t>
      </w:r>
      <w:r w:rsidRPr="0072397D">
        <w:rPr>
          <w:rFonts w:ascii="Trebuchet MS" w:hAnsi="Trebuchet MS"/>
        </w:rPr>
        <w:t>ménage s’élève dans l’ensemble à 1,2</w:t>
      </w:r>
      <w:r w:rsidR="009A7AB6">
        <w:rPr>
          <w:rFonts w:ascii="Trebuchet MS" w:hAnsi="Trebuchet MS"/>
        </w:rPr>
        <w:t xml:space="preserve"> en moyenne</w:t>
      </w:r>
      <w:r w:rsidRPr="0072397D">
        <w:rPr>
          <w:rFonts w:ascii="Trebuchet MS" w:hAnsi="Trebuchet MS"/>
        </w:rPr>
        <w:t>. Au niveau départemental, le dépar</w:t>
      </w:r>
      <w:r w:rsidR="009A7AB6">
        <w:rPr>
          <w:rFonts w:ascii="Trebuchet MS" w:hAnsi="Trebuchet MS"/>
        </w:rPr>
        <w:t>tement de la Donga</w:t>
      </w:r>
      <w:r w:rsidR="009A7AB6" w:rsidRPr="0072397D">
        <w:rPr>
          <w:rFonts w:ascii="Trebuchet MS" w:hAnsi="Trebuchet MS"/>
        </w:rPr>
        <w:t xml:space="preserve">(2,0) </w:t>
      </w:r>
      <w:r w:rsidR="009A7AB6">
        <w:rPr>
          <w:rFonts w:ascii="Trebuchet MS" w:hAnsi="Trebuchet MS"/>
        </w:rPr>
        <w:t xml:space="preserve">enregistre la moyenne la </w:t>
      </w:r>
      <w:r w:rsidRPr="0072397D">
        <w:rPr>
          <w:rFonts w:ascii="Trebuchet MS" w:hAnsi="Trebuchet MS"/>
        </w:rPr>
        <w:t>plus élevé</w:t>
      </w:r>
      <w:r w:rsidR="009A7AB6">
        <w:rPr>
          <w:rFonts w:ascii="Trebuchet MS" w:hAnsi="Trebuchet MS"/>
        </w:rPr>
        <w:t>e</w:t>
      </w:r>
      <w:r w:rsidRPr="0072397D">
        <w:rPr>
          <w:rFonts w:ascii="Trebuchet MS" w:hAnsi="Trebuchet MS"/>
        </w:rPr>
        <w:t xml:space="preserve"> et le département du Zou (0,4) enregistre l</w:t>
      </w:r>
      <w:r w:rsidR="009A7AB6">
        <w:rPr>
          <w:rFonts w:ascii="Trebuchet MS" w:hAnsi="Trebuchet MS"/>
        </w:rPr>
        <w:t>a</w:t>
      </w:r>
      <w:r w:rsidRPr="0072397D">
        <w:rPr>
          <w:rFonts w:ascii="Trebuchet MS" w:hAnsi="Trebuchet MS"/>
        </w:rPr>
        <w:t xml:space="preserve"> plus faible </w:t>
      </w:r>
      <w:r w:rsidR="009A7AB6">
        <w:rPr>
          <w:rFonts w:ascii="Trebuchet MS" w:hAnsi="Trebuchet MS"/>
        </w:rPr>
        <w:t>moyenne.</w:t>
      </w:r>
    </w:p>
    <w:p w:rsidR="005E0A7B" w:rsidRDefault="005E0A7B" w:rsidP="00B811FE">
      <w:pPr>
        <w:rPr>
          <w:rFonts w:ascii="Trebuchet MS" w:hAnsi="Trebuchet MS" w:cs="Arial"/>
          <w:b/>
          <w:bCs/>
          <w:sz w:val="20"/>
          <w:szCs w:val="20"/>
        </w:rPr>
      </w:pPr>
    </w:p>
    <w:p w:rsidR="005E0A7B" w:rsidRDefault="005E0A7B" w:rsidP="00B811FE">
      <w:pPr>
        <w:rPr>
          <w:rFonts w:ascii="Trebuchet MS" w:hAnsi="Trebuchet MS" w:cs="Arial"/>
          <w:b/>
          <w:bCs/>
          <w:sz w:val="20"/>
          <w:szCs w:val="20"/>
        </w:rPr>
      </w:pPr>
    </w:p>
    <w:p w:rsidR="005E0A7B" w:rsidRPr="00EE6A6D" w:rsidRDefault="005E0A7B" w:rsidP="00EE6A6D">
      <w:pPr>
        <w:keepNext/>
        <w:spacing w:after="0"/>
        <w:rPr>
          <w:rFonts w:ascii="Trebuchet MS" w:hAnsi="Trebuchet MS" w:cs="Arial"/>
          <w:b/>
          <w:bCs/>
          <w:sz w:val="20"/>
          <w:szCs w:val="20"/>
        </w:rPr>
      </w:pPr>
      <w:bookmarkStart w:id="81" w:name="_Toc425955983"/>
      <w:bookmarkStart w:id="82" w:name="_Toc426359324"/>
      <w:r w:rsidRPr="00EE6A6D">
        <w:rPr>
          <w:rFonts w:ascii="Trebuchet MS" w:hAnsi="Trebuchet MS"/>
          <w:b/>
          <w:sz w:val="20"/>
        </w:rPr>
        <w:t xml:space="preserve">Tableau </w:t>
      </w:r>
      <w:r w:rsidR="00792500" w:rsidRPr="00EE6A6D">
        <w:rPr>
          <w:rFonts w:ascii="Trebuchet MS" w:hAnsi="Trebuchet MS"/>
          <w:b/>
          <w:sz w:val="20"/>
        </w:rPr>
        <w:fldChar w:fldCharType="begin"/>
      </w:r>
      <w:r w:rsidRPr="00EE6A6D">
        <w:rPr>
          <w:rFonts w:ascii="Trebuchet MS" w:hAnsi="Trebuchet MS"/>
          <w:b/>
          <w:sz w:val="20"/>
        </w:rPr>
        <w:instrText xml:space="preserve"> SEQ Tableau \* ARABIC </w:instrText>
      </w:r>
      <w:r w:rsidR="00792500" w:rsidRPr="00EE6A6D">
        <w:rPr>
          <w:rFonts w:ascii="Trebuchet MS" w:hAnsi="Trebuchet MS"/>
          <w:b/>
          <w:sz w:val="20"/>
        </w:rPr>
        <w:fldChar w:fldCharType="separate"/>
      </w:r>
      <w:r w:rsidR="00556962">
        <w:rPr>
          <w:rFonts w:ascii="Trebuchet MS" w:hAnsi="Trebuchet MS"/>
          <w:b/>
          <w:noProof/>
          <w:sz w:val="20"/>
        </w:rPr>
        <w:t>5</w:t>
      </w:r>
      <w:r w:rsidR="00792500" w:rsidRPr="00EE6A6D">
        <w:rPr>
          <w:rFonts w:ascii="Trebuchet MS" w:hAnsi="Trebuchet MS"/>
          <w:b/>
          <w:sz w:val="20"/>
        </w:rPr>
        <w:fldChar w:fldCharType="end"/>
      </w:r>
      <w:r w:rsidRPr="00EE6A6D">
        <w:rPr>
          <w:rFonts w:ascii="Trebuchet MS" w:hAnsi="Trebuchet MS"/>
          <w:b/>
          <w:color w:val="000000"/>
          <w:sz w:val="20"/>
        </w:rPr>
        <w:t xml:space="preserve">: Taille moyenne et composition des ménages </w:t>
      </w:r>
      <w:bookmarkEnd w:id="81"/>
      <w:r w:rsidR="00EE6A6D" w:rsidRPr="00EE6A6D">
        <w:rPr>
          <w:rFonts w:ascii="Trebuchet MS" w:hAnsi="Trebuchet MS"/>
          <w:b/>
          <w:color w:val="000000"/>
          <w:sz w:val="20"/>
        </w:rPr>
        <w:t>suivant le département</w:t>
      </w:r>
      <w:bookmarkEnd w:id="82"/>
    </w:p>
    <w:tbl>
      <w:tblPr>
        <w:tblW w:w="5116"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627"/>
        <w:gridCol w:w="699"/>
        <w:gridCol w:w="635"/>
        <w:gridCol w:w="905"/>
        <w:gridCol w:w="992"/>
        <w:gridCol w:w="852"/>
        <w:gridCol w:w="1303"/>
        <w:gridCol w:w="852"/>
        <w:gridCol w:w="850"/>
        <w:gridCol w:w="711"/>
      </w:tblGrid>
      <w:tr w:rsidR="00EE6A6D" w:rsidRPr="0072397D" w:rsidTr="00EE6A6D">
        <w:trPr>
          <w:trHeight w:val="579"/>
          <w:tblHeader/>
        </w:trPr>
        <w:tc>
          <w:tcPr>
            <w:tcW w:w="863" w:type="pct"/>
            <w:vMerge w:val="restart"/>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EE6A6D">
            <w:pPr>
              <w:keepNext/>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1188" w:type="pct"/>
            <w:gridSpan w:val="3"/>
            <w:tcBorders>
              <w:bottom w:val="single" w:sz="4" w:space="0" w:color="auto"/>
            </w:tcBorders>
            <w:shd w:val="clear" w:color="auto" w:fill="auto"/>
            <w:vAlign w:val="center"/>
            <w:hideMark/>
          </w:tcPr>
          <w:p w:rsidR="00EE6A6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xml:space="preserve">Taille moyenne des </w:t>
            </w:r>
          </w:p>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ménages</w:t>
            </w:r>
          </w:p>
        </w:tc>
        <w:tc>
          <w:tcPr>
            <w:tcW w:w="526"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en dessous de l'âge scolaire dans le ménage</w:t>
            </w:r>
          </w:p>
        </w:tc>
        <w:tc>
          <w:tcPr>
            <w:tcW w:w="452"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dans le ménage</w:t>
            </w:r>
          </w:p>
        </w:tc>
        <w:tc>
          <w:tcPr>
            <w:tcW w:w="691"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fréquentant ou ayant fréquenté dans le ménage</w:t>
            </w:r>
          </w:p>
        </w:tc>
        <w:tc>
          <w:tcPr>
            <w:tcW w:w="452"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d'hommes adultes de 15 ans et plus dans le ménage</w:t>
            </w:r>
          </w:p>
        </w:tc>
        <w:tc>
          <w:tcPr>
            <w:tcW w:w="451"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 femmes adultes de 15 ans et plus dans le ménage</w:t>
            </w:r>
          </w:p>
        </w:tc>
        <w:tc>
          <w:tcPr>
            <w:tcW w:w="376" w:type="pct"/>
            <w:vMerge w:val="restart"/>
            <w:shd w:val="clear" w:color="auto" w:fill="auto"/>
            <w:noWrap/>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p>
          <w:p w:rsidR="00B811FE" w:rsidRPr="0072397D" w:rsidRDefault="00B811FE" w:rsidP="00EE6A6D">
            <w:pPr>
              <w:keepNext/>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Effectif des ménages</w:t>
            </w:r>
          </w:p>
        </w:tc>
      </w:tr>
      <w:tr w:rsidR="00EE6A6D" w:rsidRPr="0072397D" w:rsidTr="00EE6A6D">
        <w:trPr>
          <w:trHeight w:val="833"/>
          <w:tblHeader/>
        </w:trPr>
        <w:tc>
          <w:tcPr>
            <w:tcW w:w="863"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16"/>
                <w:szCs w:val="16"/>
                <w:lang w:eastAsia="fr-FR"/>
              </w:rPr>
            </w:pPr>
          </w:p>
        </w:tc>
        <w:tc>
          <w:tcPr>
            <w:tcW w:w="371"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Urbain</w:t>
            </w:r>
          </w:p>
        </w:tc>
        <w:tc>
          <w:tcPr>
            <w:tcW w:w="337"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Rural</w:t>
            </w:r>
          </w:p>
        </w:tc>
        <w:tc>
          <w:tcPr>
            <w:tcW w:w="480"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Ensemble</w:t>
            </w:r>
          </w:p>
        </w:tc>
        <w:tc>
          <w:tcPr>
            <w:tcW w:w="526"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691"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1"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376" w:type="pct"/>
            <w:vMerge/>
            <w:tcBorders>
              <w:bottom w:val="single" w:sz="4" w:space="0" w:color="auto"/>
            </w:tcBorders>
            <w:shd w:val="clear" w:color="auto" w:fill="auto"/>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r>
      <w:tr w:rsidR="00EE6A6D" w:rsidRPr="0072397D" w:rsidTr="00EE6A6D">
        <w:trPr>
          <w:trHeight w:val="227"/>
        </w:trPr>
        <w:tc>
          <w:tcPr>
            <w:tcW w:w="863" w:type="pct"/>
            <w:tcBorders>
              <w:top w:val="single" w:sz="4" w:space="0" w:color="auto"/>
              <w:bottom w:val="nil"/>
            </w:tcBorders>
            <w:shd w:val="clear" w:color="auto" w:fill="auto"/>
            <w:noWrap/>
            <w:vAlign w:val="bottom"/>
            <w:hideMark/>
          </w:tcPr>
          <w:p w:rsidR="00B811FE" w:rsidRPr="005E0A7B" w:rsidRDefault="00B811FE" w:rsidP="00EE6A6D">
            <w:pPr>
              <w:keepNext/>
              <w:spacing w:after="0" w:line="240" w:lineRule="auto"/>
              <w:rPr>
                <w:rFonts w:ascii="Trebuchet MS" w:eastAsia="Times New Roman" w:hAnsi="Trebuchet MS" w:cs="Arial"/>
                <w:b/>
                <w:color w:val="000000"/>
                <w:sz w:val="20"/>
                <w:szCs w:val="20"/>
                <w:lang w:eastAsia="fr-FR"/>
              </w:rPr>
            </w:pPr>
            <w:r w:rsidRPr="005E0A7B">
              <w:rPr>
                <w:rFonts w:ascii="Trebuchet MS" w:eastAsia="Times New Roman" w:hAnsi="Trebuchet MS" w:cs="Arial"/>
                <w:b/>
                <w:color w:val="000000"/>
                <w:sz w:val="20"/>
                <w:szCs w:val="20"/>
                <w:lang w:eastAsia="fr-FR"/>
              </w:rPr>
              <w:t xml:space="preserve">Département </w:t>
            </w:r>
          </w:p>
        </w:tc>
        <w:tc>
          <w:tcPr>
            <w:tcW w:w="37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337"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80"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526"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69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376"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r>
      <w:tr w:rsidR="00EE6A6D" w:rsidRPr="0072397D" w:rsidTr="00EE6A6D">
        <w:trPr>
          <w:trHeight w:val="227"/>
        </w:trPr>
        <w:tc>
          <w:tcPr>
            <w:tcW w:w="863" w:type="pct"/>
            <w:tcBorders>
              <w:top w:val="nil"/>
            </w:tcBorders>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ALIBORI</w:t>
            </w:r>
          </w:p>
        </w:tc>
        <w:tc>
          <w:tcPr>
            <w:tcW w:w="37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9,7</w:t>
            </w:r>
          </w:p>
        </w:tc>
        <w:tc>
          <w:tcPr>
            <w:tcW w:w="337"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12,6</w:t>
            </w:r>
          </w:p>
        </w:tc>
        <w:tc>
          <w:tcPr>
            <w:tcW w:w="480"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11,7</w:t>
            </w:r>
          </w:p>
        </w:tc>
        <w:tc>
          <w:tcPr>
            <w:tcW w:w="526"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452"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w:t>
            </w:r>
          </w:p>
        </w:tc>
        <w:tc>
          <w:tcPr>
            <w:tcW w:w="69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52"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3,1</w:t>
            </w:r>
          </w:p>
        </w:tc>
        <w:tc>
          <w:tcPr>
            <w:tcW w:w="45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2,9</w:t>
            </w:r>
          </w:p>
        </w:tc>
        <w:tc>
          <w:tcPr>
            <w:tcW w:w="376"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ATACORA</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5,9</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7,3</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6,4</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277</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ATLANTIQUE</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5,2</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316</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BORGOU</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7,8</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9,4</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8,6</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2,2</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347</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COLLINES</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489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COUFFO</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8,2</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7,2</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7,5</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215</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DONGA</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9,6</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9,6</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2,5</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2,7</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308</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LITTORAL</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252</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MONO</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6,1</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306</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OUEME</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4,8</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PLATEAU</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4,6</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5,9</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5,5</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144</w:t>
            </w:r>
          </w:p>
        </w:tc>
      </w:tr>
      <w:tr w:rsidR="00EE6A6D" w:rsidRPr="0072397D" w:rsidTr="00EE6A6D">
        <w:trPr>
          <w:trHeight w:val="227"/>
        </w:trPr>
        <w:tc>
          <w:tcPr>
            <w:tcW w:w="863"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ZOU</w:t>
            </w:r>
          </w:p>
        </w:tc>
        <w:tc>
          <w:tcPr>
            <w:tcW w:w="37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4,1</w:t>
            </w:r>
          </w:p>
        </w:tc>
        <w:tc>
          <w:tcPr>
            <w:tcW w:w="337"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w:t>
            </w:r>
          </w:p>
        </w:tc>
        <w:tc>
          <w:tcPr>
            <w:tcW w:w="480"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w:t>
            </w:r>
          </w:p>
        </w:tc>
        <w:tc>
          <w:tcPr>
            <w:tcW w:w="526"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69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0,4</w:t>
            </w:r>
          </w:p>
        </w:tc>
        <w:tc>
          <w:tcPr>
            <w:tcW w:w="452"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376"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454</w:t>
            </w:r>
          </w:p>
        </w:tc>
      </w:tr>
      <w:tr w:rsidR="00EE6A6D" w:rsidRPr="0072397D" w:rsidTr="00EE6A6D">
        <w:trPr>
          <w:trHeight w:val="227"/>
        </w:trPr>
        <w:tc>
          <w:tcPr>
            <w:tcW w:w="863"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37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6,0</w:t>
            </w:r>
          </w:p>
        </w:tc>
        <w:tc>
          <w:tcPr>
            <w:tcW w:w="337"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480"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526"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2"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9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376"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3816</w:t>
            </w:r>
          </w:p>
        </w:tc>
      </w:tr>
      <w:tr w:rsidR="009A7AB6" w:rsidRPr="00C247B4" w:rsidTr="00EE6A6D">
        <w:trPr>
          <w:trHeight w:val="237"/>
        </w:trPr>
        <w:tc>
          <w:tcPr>
            <w:tcW w:w="5000" w:type="pct"/>
            <w:gridSpan w:val="10"/>
            <w:tcBorders>
              <w:top w:val="double" w:sz="4" w:space="0" w:color="auto"/>
              <w:bottom w:val="nil"/>
            </w:tcBorders>
            <w:shd w:val="clear" w:color="auto" w:fill="auto"/>
            <w:noWrap/>
            <w:vAlign w:val="bottom"/>
            <w:hideMark/>
          </w:tcPr>
          <w:p w:rsidR="009A7AB6" w:rsidRPr="00C247B4" w:rsidRDefault="009A7AB6" w:rsidP="00EE6A6D">
            <w:pPr>
              <w:keepNext/>
              <w:spacing w:after="0" w:line="240" w:lineRule="auto"/>
              <w:rPr>
                <w:rFonts w:ascii="Trebuchet MS" w:eastAsia="Times New Roman" w:hAnsi="Trebuchet MS" w:cs="Arial"/>
                <w:color w:val="000000"/>
                <w:sz w:val="20"/>
                <w:szCs w:val="20"/>
                <w:lang w:eastAsia="fr-FR"/>
              </w:rPr>
            </w:pPr>
            <w:r w:rsidRPr="00F57BAA">
              <w:rPr>
                <w:rFonts w:ascii="Trebuchet MS" w:hAnsi="Trebuchet MS" w:cs="Arial"/>
                <w:bCs/>
                <w:color w:val="000000"/>
              </w:rPr>
              <w:t>Source : ECEB, INSAE, 2015</w:t>
            </w:r>
          </w:p>
        </w:tc>
      </w:tr>
    </w:tbl>
    <w:p w:rsidR="009A7AB6" w:rsidRPr="0072397D" w:rsidRDefault="009A7AB6" w:rsidP="00B811FE">
      <w:pPr>
        <w:rPr>
          <w:rFonts w:ascii="Trebuchet MS" w:hAnsi="Trebuchet MS"/>
        </w:rPr>
      </w:pPr>
    </w:p>
    <w:p w:rsidR="006210E4" w:rsidRPr="00F57BAA" w:rsidRDefault="006210E4" w:rsidP="00F03E08">
      <w:pPr>
        <w:pStyle w:val="Titre4"/>
        <w:numPr>
          <w:ilvl w:val="2"/>
          <w:numId w:val="6"/>
        </w:numPr>
      </w:pPr>
      <w:bookmarkStart w:id="83" w:name="_Toc425961634"/>
      <w:bookmarkStart w:id="84" w:name="_Toc426359428"/>
      <w:r>
        <w:t xml:space="preserve">Taille et composition des ménages </w:t>
      </w:r>
      <w:r w:rsidR="001A35F6">
        <w:t>les</w:t>
      </w:r>
      <w:r>
        <w:t>caractéristiques sociodémographiques</w:t>
      </w:r>
      <w:r w:rsidR="001A35F6">
        <w:t xml:space="preserve"> de leur chef</w:t>
      </w:r>
      <w:bookmarkEnd w:id="83"/>
      <w:bookmarkEnd w:id="84"/>
    </w:p>
    <w:p w:rsidR="00B811FE" w:rsidRPr="0072397D" w:rsidRDefault="00B811FE" w:rsidP="00025637">
      <w:pPr>
        <w:jc w:val="both"/>
        <w:rPr>
          <w:rFonts w:ascii="Trebuchet MS" w:hAnsi="Trebuchet MS"/>
        </w:rPr>
      </w:pPr>
      <w:r w:rsidRPr="0072397D">
        <w:rPr>
          <w:rFonts w:ascii="Trebuchet MS" w:hAnsi="Trebuchet MS"/>
        </w:rPr>
        <w:t xml:space="preserve">Dans l’ensemble, la taille moyenne des ménages se trouve plus élevée au niveau des  ménages </w:t>
      </w:r>
      <w:r w:rsidR="00192970">
        <w:rPr>
          <w:rFonts w:ascii="Trebuchet MS" w:hAnsi="Trebuchet MS"/>
        </w:rPr>
        <w:t xml:space="preserve">dont leur chef est de </w:t>
      </w:r>
      <w:r w:rsidRPr="0072397D">
        <w:rPr>
          <w:rFonts w:ascii="Trebuchet MS" w:hAnsi="Trebuchet MS"/>
        </w:rPr>
        <w:t>sexe masculin (6,8</w:t>
      </w:r>
      <w:r w:rsidR="00192970">
        <w:rPr>
          <w:rFonts w:ascii="Trebuchet MS" w:hAnsi="Trebuchet MS"/>
        </w:rPr>
        <w:t xml:space="preserve"> personnes en moyenne par ménage</w:t>
      </w:r>
      <w:r w:rsidRPr="0072397D">
        <w:rPr>
          <w:rFonts w:ascii="Trebuchet MS" w:hAnsi="Trebuchet MS"/>
        </w:rPr>
        <w:t>).</w:t>
      </w:r>
    </w:p>
    <w:p w:rsidR="00B811FE" w:rsidRDefault="00192970" w:rsidP="00025637">
      <w:pPr>
        <w:jc w:val="both"/>
        <w:rPr>
          <w:rFonts w:ascii="Trebuchet MS" w:hAnsi="Trebuchet MS"/>
        </w:rPr>
      </w:pPr>
      <w:r>
        <w:rPr>
          <w:rFonts w:ascii="Trebuchet MS" w:hAnsi="Trebuchet MS"/>
        </w:rPr>
        <w:t>En milieu</w:t>
      </w:r>
      <w:r w:rsidR="00B811FE" w:rsidRPr="0072397D">
        <w:rPr>
          <w:rFonts w:ascii="Trebuchet MS" w:hAnsi="Trebuchet MS"/>
        </w:rPr>
        <w:t xml:space="preserve"> urbaine, la taille moyenne s’élève à 6,5 </w:t>
      </w:r>
      <w:r>
        <w:rPr>
          <w:rFonts w:ascii="Trebuchet MS" w:hAnsi="Trebuchet MS"/>
        </w:rPr>
        <w:t xml:space="preserve">pour les </w:t>
      </w:r>
      <w:r w:rsidRPr="0072397D">
        <w:rPr>
          <w:rFonts w:ascii="Trebuchet MS" w:hAnsi="Trebuchet MS"/>
        </w:rPr>
        <w:t xml:space="preserve">ménages </w:t>
      </w:r>
      <w:r>
        <w:rPr>
          <w:rFonts w:ascii="Trebuchet MS" w:hAnsi="Trebuchet MS"/>
        </w:rPr>
        <w:t xml:space="preserve">dont leur chef est </w:t>
      </w:r>
      <w:r w:rsidRPr="0072397D">
        <w:rPr>
          <w:rFonts w:ascii="Trebuchet MS" w:hAnsi="Trebuchet MS"/>
        </w:rPr>
        <w:t xml:space="preserve">de sexe masculin </w:t>
      </w:r>
      <w:r w:rsidR="00B811FE" w:rsidRPr="0072397D">
        <w:rPr>
          <w:rFonts w:ascii="Trebuchet MS" w:hAnsi="Trebuchet MS"/>
        </w:rPr>
        <w:t xml:space="preserve">contre 4,0 </w:t>
      </w:r>
      <w:r>
        <w:rPr>
          <w:rFonts w:ascii="Trebuchet MS" w:hAnsi="Trebuchet MS"/>
        </w:rPr>
        <w:t xml:space="preserve">pour ceux dont leur chef est </w:t>
      </w:r>
      <w:r w:rsidRPr="0072397D">
        <w:rPr>
          <w:rFonts w:ascii="Trebuchet MS" w:hAnsi="Trebuchet MS"/>
        </w:rPr>
        <w:t xml:space="preserve">de sexe </w:t>
      </w:r>
      <w:r w:rsidR="00B811FE" w:rsidRPr="0072397D">
        <w:rPr>
          <w:rFonts w:ascii="Trebuchet MS" w:hAnsi="Trebuchet MS"/>
        </w:rPr>
        <w:t xml:space="preserve">féminin. </w:t>
      </w:r>
      <w:r>
        <w:rPr>
          <w:rFonts w:ascii="Trebuchet MS" w:hAnsi="Trebuchet MS"/>
        </w:rPr>
        <w:t>En milieu  r</w:t>
      </w:r>
      <w:r w:rsidR="00B811FE" w:rsidRPr="0072397D">
        <w:rPr>
          <w:rFonts w:ascii="Trebuchet MS" w:hAnsi="Trebuchet MS"/>
        </w:rPr>
        <w:t xml:space="preserve">urale, la taille moyenne des ménages </w:t>
      </w:r>
      <w:r>
        <w:rPr>
          <w:rFonts w:ascii="Trebuchet MS" w:hAnsi="Trebuchet MS"/>
        </w:rPr>
        <w:t>est estimée</w:t>
      </w:r>
      <w:r w:rsidR="00B811FE" w:rsidRPr="0072397D">
        <w:rPr>
          <w:rFonts w:ascii="Trebuchet MS" w:hAnsi="Trebuchet MS"/>
        </w:rPr>
        <w:t xml:space="preserve"> à 7,1 </w:t>
      </w:r>
      <w:r>
        <w:rPr>
          <w:rFonts w:ascii="Trebuchet MS" w:hAnsi="Trebuchet MS"/>
        </w:rPr>
        <w:t xml:space="preserve">pour les ménages dirigés par des hommes </w:t>
      </w:r>
      <w:r w:rsidR="00B811FE" w:rsidRPr="0072397D">
        <w:rPr>
          <w:rFonts w:ascii="Trebuchet MS" w:hAnsi="Trebuchet MS"/>
        </w:rPr>
        <w:t xml:space="preserve">contre 4,4 pour </w:t>
      </w:r>
      <w:r>
        <w:rPr>
          <w:rFonts w:ascii="Trebuchet MS" w:hAnsi="Trebuchet MS"/>
        </w:rPr>
        <w:t xml:space="preserve">ceux dirigés par des </w:t>
      </w:r>
      <w:r w:rsidR="00B811FE" w:rsidRPr="0072397D">
        <w:rPr>
          <w:rFonts w:ascii="Trebuchet MS" w:hAnsi="Trebuchet MS"/>
        </w:rPr>
        <w:t>f</w:t>
      </w:r>
      <w:r>
        <w:rPr>
          <w:rFonts w:ascii="Trebuchet MS" w:hAnsi="Trebuchet MS"/>
        </w:rPr>
        <w:t>emmes</w:t>
      </w:r>
      <w:r w:rsidR="00B811FE" w:rsidRPr="0072397D">
        <w:rPr>
          <w:rFonts w:ascii="Trebuchet MS" w:hAnsi="Trebuchet MS"/>
        </w:rPr>
        <w:t>.</w:t>
      </w:r>
    </w:p>
    <w:p w:rsidR="00045466" w:rsidRPr="0072397D" w:rsidRDefault="00045466" w:rsidP="00045466">
      <w:pPr>
        <w:jc w:val="both"/>
        <w:rPr>
          <w:rFonts w:ascii="Trebuchet MS" w:hAnsi="Trebuchet MS"/>
        </w:rPr>
      </w:pPr>
      <w:r>
        <w:rPr>
          <w:rFonts w:ascii="Trebuchet MS" w:hAnsi="Trebuchet MS"/>
        </w:rPr>
        <w:t>L’analyse selon le niveau d’instruction du chef de ménage montre que d</w:t>
      </w:r>
      <w:r w:rsidRPr="0072397D">
        <w:rPr>
          <w:rFonts w:ascii="Trebuchet MS" w:hAnsi="Trebuchet MS"/>
        </w:rPr>
        <w:t xml:space="preserve">ans l’ensemble, la taille moyenne des ménages la plus élevée est enregistrée au niveau </w:t>
      </w:r>
      <w:r>
        <w:rPr>
          <w:rFonts w:ascii="Trebuchet MS" w:hAnsi="Trebuchet MS"/>
        </w:rPr>
        <w:t xml:space="preserve">des ménages dont leur chef </w:t>
      </w:r>
      <w:r w:rsidRPr="0072397D">
        <w:rPr>
          <w:rFonts w:ascii="Trebuchet MS" w:hAnsi="Trebuchet MS"/>
        </w:rPr>
        <w:t>n’a aucun niveau d’</w:t>
      </w:r>
      <w:r>
        <w:rPr>
          <w:rFonts w:ascii="Trebuchet MS" w:hAnsi="Trebuchet MS"/>
        </w:rPr>
        <w:t xml:space="preserve">instruction </w:t>
      </w:r>
      <w:r w:rsidRPr="0072397D">
        <w:rPr>
          <w:rFonts w:ascii="Trebuchet MS" w:hAnsi="Trebuchet MS"/>
        </w:rPr>
        <w:t xml:space="preserve">(7,2). Le constat est le même que ce soit en urbain ou </w:t>
      </w:r>
      <w:r>
        <w:rPr>
          <w:rFonts w:ascii="Trebuchet MS" w:hAnsi="Trebuchet MS"/>
        </w:rPr>
        <w:t xml:space="preserve">en milieu </w:t>
      </w:r>
      <w:r w:rsidRPr="0072397D">
        <w:rPr>
          <w:rFonts w:ascii="Trebuchet MS" w:hAnsi="Trebuchet MS"/>
        </w:rPr>
        <w:t>rural où la taille moyenne des ménages s’élève respectivement à 7,0 et 7,3.</w:t>
      </w:r>
    </w:p>
    <w:p w:rsidR="001420B2" w:rsidRDefault="00484FC4" w:rsidP="00025637">
      <w:pPr>
        <w:jc w:val="both"/>
        <w:rPr>
          <w:rFonts w:ascii="Trebuchet MS" w:hAnsi="Trebuchet MS"/>
        </w:rPr>
      </w:pPr>
      <w:r>
        <w:rPr>
          <w:rFonts w:ascii="Trebuchet MS" w:hAnsi="Trebuchet MS"/>
        </w:rPr>
        <w:t>Par ailleurs, l</w:t>
      </w:r>
      <w:r w:rsidRPr="0072397D">
        <w:rPr>
          <w:rFonts w:ascii="Trebuchet MS" w:hAnsi="Trebuchet MS"/>
        </w:rPr>
        <w:t xml:space="preserve">e nombre moyen d’enfants en dessous de l’âge scolaire </w:t>
      </w:r>
      <w:r>
        <w:rPr>
          <w:rFonts w:ascii="Trebuchet MS" w:hAnsi="Trebuchet MS"/>
        </w:rPr>
        <w:t>par</w:t>
      </w:r>
      <w:r w:rsidRPr="0072397D">
        <w:rPr>
          <w:rFonts w:ascii="Trebuchet MS" w:hAnsi="Trebuchet MS"/>
        </w:rPr>
        <w:t xml:space="preserve"> ménage est plus élevé au niveau des</w:t>
      </w:r>
      <w:r>
        <w:rPr>
          <w:rFonts w:ascii="Trebuchet MS" w:hAnsi="Trebuchet MS"/>
        </w:rPr>
        <w:t xml:space="preserve"> ménages dont leur</w:t>
      </w:r>
      <w:r w:rsidRPr="0072397D">
        <w:rPr>
          <w:rFonts w:ascii="Trebuchet MS" w:hAnsi="Trebuchet MS"/>
        </w:rPr>
        <w:t xml:space="preserve"> chef n’a aucun niveau d’</w:t>
      </w:r>
      <w:r>
        <w:rPr>
          <w:rFonts w:ascii="Trebuchet MS" w:hAnsi="Trebuchet MS"/>
        </w:rPr>
        <w:t>instruction (1,2</w:t>
      </w:r>
      <w:r w:rsidRPr="0072397D">
        <w:rPr>
          <w:rFonts w:ascii="Trebuchet MS" w:hAnsi="Trebuchet MS"/>
        </w:rPr>
        <w:t xml:space="preserve">) </w:t>
      </w:r>
      <w:r>
        <w:rPr>
          <w:rFonts w:ascii="Trebuchet MS" w:hAnsi="Trebuchet MS"/>
        </w:rPr>
        <w:t>et pour ceux dont leur chef avai</w:t>
      </w:r>
      <w:r w:rsidRPr="0072397D">
        <w:rPr>
          <w:rFonts w:ascii="Trebuchet MS" w:hAnsi="Trebuchet MS"/>
        </w:rPr>
        <w:t>t déclaré « autre »</w:t>
      </w:r>
      <w:r>
        <w:rPr>
          <w:rFonts w:ascii="Trebuchet MS" w:hAnsi="Trebuchet MS"/>
        </w:rPr>
        <w:t xml:space="preserve"> (1,3) ;</w:t>
      </w:r>
      <w:r w:rsidRPr="0072397D">
        <w:rPr>
          <w:rFonts w:ascii="Trebuchet MS" w:hAnsi="Trebuchet MS"/>
        </w:rPr>
        <w:t xml:space="preserve"> et plus faible au niveau des </w:t>
      </w:r>
      <w:r w:rsidR="001420B2" w:rsidRPr="0072397D">
        <w:rPr>
          <w:rFonts w:ascii="Trebuchet MS" w:hAnsi="Trebuchet MS"/>
        </w:rPr>
        <w:t>ménages</w:t>
      </w:r>
      <w:r w:rsidR="001420B2">
        <w:rPr>
          <w:rFonts w:ascii="Trebuchet MS" w:hAnsi="Trebuchet MS"/>
        </w:rPr>
        <w:t xml:space="preserve"> dont leur chef </w:t>
      </w:r>
      <w:r w:rsidRPr="0072397D">
        <w:rPr>
          <w:rFonts w:ascii="Trebuchet MS" w:hAnsi="Trebuchet MS"/>
        </w:rPr>
        <w:t>a le niveau d’étude du secondaire 2 (0,6)</w:t>
      </w:r>
      <w:r w:rsidR="001420B2">
        <w:rPr>
          <w:rFonts w:ascii="Trebuchet MS" w:hAnsi="Trebuchet MS"/>
        </w:rPr>
        <w:t>,</w:t>
      </w:r>
      <w:r w:rsidRPr="0072397D">
        <w:rPr>
          <w:rFonts w:ascii="Trebuchet MS" w:hAnsi="Trebuchet MS"/>
        </w:rPr>
        <w:t xml:space="preserve"> hormis ceux qui </w:t>
      </w:r>
      <w:r w:rsidR="001420B2">
        <w:rPr>
          <w:rFonts w:ascii="Trebuchet MS" w:hAnsi="Trebuchet MS"/>
        </w:rPr>
        <w:t xml:space="preserve">la réponse </w:t>
      </w:r>
      <w:r w:rsidRPr="0072397D">
        <w:rPr>
          <w:rFonts w:ascii="Trebuchet MS" w:hAnsi="Trebuchet MS"/>
        </w:rPr>
        <w:t>déclaré</w:t>
      </w:r>
      <w:r w:rsidR="001420B2">
        <w:rPr>
          <w:rFonts w:ascii="Trebuchet MS" w:hAnsi="Trebuchet MS"/>
        </w:rPr>
        <w:t xml:space="preserve">e pour le niveau d’instruction est </w:t>
      </w:r>
      <w:r w:rsidRPr="0072397D">
        <w:rPr>
          <w:rFonts w:ascii="Trebuchet MS" w:hAnsi="Trebuchet MS"/>
        </w:rPr>
        <w:t xml:space="preserve">« Ne sait pas » (0,5). </w:t>
      </w:r>
    </w:p>
    <w:p w:rsidR="00045466" w:rsidRDefault="00484FC4" w:rsidP="00025637">
      <w:pPr>
        <w:jc w:val="both"/>
        <w:rPr>
          <w:rFonts w:ascii="Trebuchet MS" w:hAnsi="Trebuchet MS"/>
        </w:rPr>
      </w:pPr>
      <w:r w:rsidRPr="0072397D">
        <w:rPr>
          <w:rFonts w:ascii="Trebuchet MS" w:hAnsi="Trebuchet MS"/>
        </w:rPr>
        <w:t xml:space="preserve">En ce qui concerne le nombre moyen d'enfants de 6 à 14 ans </w:t>
      </w:r>
      <w:r w:rsidR="001420B2">
        <w:rPr>
          <w:rFonts w:ascii="Trebuchet MS" w:hAnsi="Trebuchet MS"/>
        </w:rPr>
        <w:t>par</w:t>
      </w:r>
      <w:r w:rsidRPr="0072397D">
        <w:rPr>
          <w:rFonts w:ascii="Trebuchet MS" w:hAnsi="Trebuchet MS"/>
        </w:rPr>
        <w:t xml:space="preserve"> le ménage, il est plus élevé </w:t>
      </w:r>
      <w:r w:rsidR="001420B2">
        <w:rPr>
          <w:rFonts w:ascii="Trebuchet MS" w:hAnsi="Trebuchet MS"/>
        </w:rPr>
        <w:t xml:space="preserve">dans les ménages dont leur </w:t>
      </w:r>
      <w:r w:rsidRPr="0072397D">
        <w:rPr>
          <w:rFonts w:ascii="Trebuchet MS" w:hAnsi="Trebuchet MS"/>
        </w:rPr>
        <w:t xml:space="preserve">chef n’a aucun niveau d’étude (2,0) et plus faible </w:t>
      </w:r>
      <w:r w:rsidR="001420B2">
        <w:rPr>
          <w:rFonts w:ascii="Trebuchet MS" w:hAnsi="Trebuchet MS"/>
        </w:rPr>
        <w:t xml:space="preserve">pour ceux dont leur chef </w:t>
      </w:r>
      <w:r w:rsidRPr="0072397D">
        <w:rPr>
          <w:rFonts w:ascii="Trebuchet MS" w:hAnsi="Trebuchet MS"/>
        </w:rPr>
        <w:t>a le niveau d’étude du secondaire 2 (1,0).</w:t>
      </w:r>
    </w:p>
    <w:p w:rsidR="00786B0E" w:rsidRDefault="00786B0E" w:rsidP="00025637">
      <w:pPr>
        <w:jc w:val="both"/>
        <w:rPr>
          <w:rFonts w:ascii="Trebuchet MS" w:hAnsi="Trebuchet MS"/>
        </w:rPr>
      </w:pPr>
    </w:p>
    <w:p w:rsidR="00786B0E" w:rsidRDefault="00202FAF" w:rsidP="008A14B4">
      <w:pPr>
        <w:keepNext/>
        <w:spacing w:after="0" w:line="240" w:lineRule="auto"/>
        <w:jc w:val="both"/>
        <w:rPr>
          <w:rFonts w:ascii="Trebuchet MS" w:hAnsi="Trebuchet MS"/>
        </w:rPr>
      </w:pPr>
      <w:bookmarkStart w:id="85" w:name="_Toc426359325"/>
      <w:r w:rsidRPr="00202FAF">
        <w:rPr>
          <w:rFonts w:ascii="Trebuchet MS" w:hAnsi="Trebuchet MS"/>
          <w:b/>
          <w:color w:val="000000"/>
          <w:sz w:val="20"/>
        </w:rPr>
        <w:t xml:space="preserve">Tableau </w:t>
      </w:r>
      <w:r w:rsidR="00792500" w:rsidRPr="00202FAF">
        <w:rPr>
          <w:rFonts w:ascii="Trebuchet MS" w:hAnsi="Trebuchet MS"/>
          <w:b/>
          <w:color w:val="000000"/>
          <w:sz w:val="20"/>
        </w:rPr>
        <w:fldChar w:fldCharType="begin"/>
      </w:r>
      <w:r w:rsidRPr="00202FAF">
        <w:rPr>
          <w:rFonts w:ascii="Trebuchet MS" w:hAnsi="Trebuchet MS"/>
          <w:b/>
          <w:color w:val="000000"/>
          <w:sz w:val="20"/>
        </w:rPr>
        <w:instrText xml:space="preserve"> SEQ Tableau \* ARABIC </w:instrText>
      </w:r>
      <w:r w:rsidR="00792500" w:rsidRPr="00202FAF">
        <w:rPr>
          <w:rFonts w:ascii="Trebuchet MS" w:hAnsi="Trebuchet MS"/>
          <w:b/>
          <w:color w:val="000000"/>
          <w:sz w:val="20"/>
        </w:rPr>
        <w:fldChar w:fldCharType="separate"/>
      </w:r>
      <w:r w:rsidR="00556962">
        <w:rPr>
          <w:rFonts w:ascii="Trebuchet MS" w:hAnsi="Trebuchet MS"/>
          <w:b/>
          <w:noProof/>
          <w:color w:val="000000"/>
          <w:sz w:val="20"/>
        </w:rPr>
        <w:t>6</w:t>
      </w:r>
      <w:r w:rsidR="00792500" w:rsidRPr="00202FAF">
        <w:rPr>
          <w:rFonts w:ascii="Trebuchet MS" w:hAnsi="Trebuchet MS"/>
          <w:b/>
          <w:color w:val="000000"/>
          <w:sz w:val="20"/>
        </w:rPr>
        <w:fldChar w:fldCharType="end"/>
      </w:r>
      <w:r w:rsidRPr="00202FAF">
        <w:rPr>
          <w:rFonts w:ascii="Trebuchet MS" w:hAnsi="Trebuchet MS"/>
          <w:b/>
          <w:color w:val="000000"/>
          <w:sz w:val="20"/>
        </w:rPr>
        <w:t xml:space="preserve"> : Taille </w:t>
      </w:r>
      <w:r w:rsidR="00786B0E" w:rsidRPr="00EE6A6D">
        <w:rPr>
          <w:rFonts w:ascii="Trebuchet MS" w:hAnsi="Trebuchet MS"/>
          <w:b/>
          <w:color w:val="000000"/>
          <w:sz w:val="20"/>
        </w:rPr>
        <w:t>moyenne</w:t>
      </w:r>
      <w:r w:rsidR="00786B0E">
        <w:rPr>
          <w:rFonts w:ascii="Trebuchet MS" w:hAnsi="Trebuchet MS"/>
          <w:b/>
          <w:color w:val="000000"/>
          <w:sz w:val="20"/>
        </w:rPr>
        <w:t xml:space="preserve"> par milieu de résidence </w:t>
      </w:r>
      <w:r w:rsidR="00786B0E" w:rsidRPr="00EE6A6D">
        <w:rPr>
          <w:rFonts w:ascii="Trebuchet MS" w:hAnsi="Trebuchet MS"/>
          <w:b/>
          <w:color w:val="000000"/>
          <w:sz w:val="20"/>
        </w:rPr>
        <w:t>et composition des ménages suivant</w:t>
      </w:r>
      <w:r w:rsidR="00786B0E" w:rsidRPr="00786B0E">
        <w:rPr>
          <w:rFonts w:ascii="Trebuchet MS" w:hAnsi="Trebuchet MS"/>
          <w:b/>
          <w:color w:val="000000"/>
          <w:sz w:val="20"/>
        </w:rPr>
        <w:t xml:space="preserve"> le sexe et le niveau d’instruction du chef de ménage</w:t>
      </w:r>
      <w:bookmarkEnd w:id="85"/>
    </w:p>
    <w:tbl>
      <w:tblPr>
        <w:tblW w:w="5116"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770"/>
        <w:gridCol w:w="711"/>
        <w:gridCol w:w="711"/>
        <w:gridCol w:w="850"/>
        <w:gridCol w:w="850"/>
        <w:gridCol w:w="852"/>
        <w:gridCol w:w="1131"/>
        <w:gridCol w:w="858"/>
        <w:gridCol w:w="850"/>
        <w:gridCol w:w="843"/>
      </w:tblGrid>
      <w:tr w:rsidR="00484FC4" w:rsidRPr="0072397D" w:rsidTr="00202FAF">
        <w:trPr>
          <w:trHeight w:val="486"/>
          <w:tblHeader/>
        </w:trPr>
        <w:tc>
          <w:tcPr>
            <w:tcW w:w="939" w:type="pct"/>
            <w:vMerge w:val="restart"/>
            <w:tcBorders>
              <w:top w:val="doub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8A14B4">
            <w:pPr>
              <w:keepNext/>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1205" w:type="pct"/>
            <w:gridSpan w:val="3"/>
            <w:tcBorders>
              <w:top w:val="double" w:sz="4" w:space="0" w:color="auto"/>
              <w:bottom w:val="single" w:sz="4" w:space="0" w:color="auto"/>
            </w:tcBorders>
            <w:shd w:val="clear" w:color="auto" w:fill="auto"/>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Taille moyenne des ménages</w:t>
            </w:r>
          </w:p>
        </w:tc>
        <w:tc>
          <w:tcPr>
            <w:tcW w:w="451"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en dessous de l'âge scolaire dans le ménage</w:t>
            </w:r>
          </w:p>
        </w:tc>
        <w:tc>
          <w:tcPr>
            <w:tcW w:w="452"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dans le ménage</w:t>
            </w:r>
          </w:p>
        </w:tc>
        <w:tc>
          <w:tcPr>
            <w:tcW w:w="600"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fréquentant ou ayant fréquenté dans le ménage</w:t>
            </w:r>
          </w:p>
        </w:tc>
        <w:tc>
          <w:tcPr>
            <w:tcW w:w="455"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d'hommes adultes de 15 ans et plus dans le ménage</w:t>
            </w:r>
          </w:p>
        </w:tc>
        <w:tc>
          <w:tcPr>
            <w:tcW w:w="451"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 femmes adultes de 15 ans et plus dans le ménage</w:t>
            </w:r>
          </w:p>
        </w:tc>
        <w:tc>
          <w:tcPr>
            <w:tcW w:w="447" w:type="pct"/>
            <w:vMerge w:val="restart"/>
            <w:tcBorders>
              <w:top w:val="double" w:sz="4" w:space="0" w:color="auto"/>
              <w:bottom w:val="single" w:sz="4" w:space="0" w:color="auto"/>
            </w:tcBorders>
            <w:shd w:val="clear" w:color="auto" w:fill="auto"/>
            <w:noWrap/>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p>
          <w:p w:rsidR="00B811FE" w:rsidRPr="0072397D" w:rsidRDefault="00B811FE" w:rsidP="008A14B4">
            <w:pPr>
              <w:keepNext/>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Effectif des ménages</w:t>
            </w:r>
          </w:p>
        </w:tc>
      </w:tr>
      <w:tr w:rsidR="00B811FE" w:rsidRPr="0072397D" w:rsidTr="00202FAF">
        <w:trPr>
          <w:trHeight w:val="227"/>
          <w:tblHeader/>
        </w:trPr>
        <w:tc>
          <w:tcPr>
            <w:tcW w:w="939"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rPr>
                <w:rFonts w:ascii="Trebuchet MS" w:eastAsia="Times New Roman" w:hAnsi="Trebuchet MS" w:cs="Arial"/>
                <w:color w:val="000000"/>
                <w:sz w:val="16"/>
                <w:szCs w:val="16"/>
                <w:lang w:eastAsia="fr-FR"/>
              </w:rPr>
            </w:pPr>
          </w:p>
        </w:tc>
        <w:tc>
          <w:tcPr>
            <w:tcW w:w="377"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Urbain</w:t>
            </w:r>
          </w:p>
        </w:tc>
        <w:tc>
          <w:tcPr>
            <w:tcW w:w="377"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Rural</w:t>
            </w:r>
          </w:p>
        </w:tc>
        <w:tc>
          <w:tcPr>
            <w:tcW w:w="451"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Ensemble</w:t>
            </w:r>
          </w:p>
        </w:tc>
        <w:tc>
          <w:tcPr>
            <w:tcW w:w="451"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600"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5"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1"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47" w:type="pct"/>
            <w:vMerge/>
            <w:tcBorders>
              <w:top w:val="single" w:sz="4" w:space="0" w:color="auto"/>
              <w:bottom w:val="single" w:sz="4" w:space="0" w:color="auto"/>
            </w:tcBorders>
            <w:shd w:val="clear" w:color="auto" w:fill="auto"/>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r>
      <w:tr w:rsidR="00B811FE" w:rsidRPr="00202FAF" w:rsidTr="00202FAF">
        <w:trPr>
          <w:trHeight w:val="227"/>
        </w:trPr>
        <w:tc>
          <w:tcPr>
            <w:tcW w:w="939"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Sexe du CM</w:t>
            </w:r>
          </w:p>
        </w:tc>
        <w:tc>
          <w:tcPr>
            <w:tcW w:w="37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37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600"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5"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4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r>
      <w:tr w:rsidR="00B811FE" w:rsidRPr="0072397D" w:rsidTr="00202FAF">
        <w:trPr>
          <w:trHeight w:val="227"/>
        </w:trPr>
        <w:tc>
          <w:tcPr>
            <w:tcW w:w="939" w:type="pct"/>
            <w:tcBorders>
              <w:top w:val="nil"/>
            </w:tcBorders>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Masculin</w:t>
            </w:r>
          </w:p>
        </w:tc>
        <w:tc>
          <w:tcPr>
            <w:tcW w:w="37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6,5</w:t>
            </w:r>
          </w:p>
        </w:tc>
        <w:tc>
          <w:tcPr>
            <w:tcW w:w="37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7,1</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6,8</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600"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5"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4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3064</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Féminin</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4,0</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4,4</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752</w:t>
            </w:r>
          </w:p>
        </w:tc>
      </w:tr>
      <w:tr w:rsidR="00B811FE" w:rsidRPr="00202FAF" w:rsidTr="00202FAF">
        <w:trPr>
          <w:trHeight w:val="227"/>
        </w:trPr>
        <w:tc>
          <w:tcPr>
            <w:tcW w:w="939" w:type="pct"/>
            <w:shd w:val="clear" w:color="auto" w:fill="auto"/>
            <w:noWrap/>
            <w:vAlign w:val="bottom"/>
            <w:hideMark/>
          </w:tcPr>
          <w:p w:rsidR="00B811FE" w:rsidRPr="00202FAF" w:rsidRDefault="00B811FE" w:rsidP="008A14B4">
            <w:pPr>
              <w:keepNext/>
              <w:spacing w:after="0" w:line="240" w:lineRule="auto"/>
              <w:rPr>
                <w:rFonts w:ascii="Trebuchet MS" w:eastAsia="Times New Roman" w:hAnsi="Trebuchet MS" w:cs="Arial"/>
                <w:b/>
                <w:color w:val="000000"/>
                <w:sz w:val="18"/>
                <w:szCs w:val="20"/>
                <w:lang w:eastAsia="fr-FR"/>
              </w:rPr>
            </w:pPr>
            <w:r w:rsidRPr="00202FAF">
              <w:rPr>
                <w:rFonts w:ascii="Trebuchet MS" w:eastAsia="Times New Roman" w:hAnsi="Trebuchet MS" w:cs="Arial"/>
                <w:b/>
                <w:color w:val="000000"/>
                <w:sz w:val="18"/>
                <w:szCs w:val="20"/>
                <w:lang w:eastAsia="fr-FR"/>
              </w:rPr>
              <w:t>Niveau d'instruction du CM</w:t>
            </w:r>
          </w:p>
        </w:tc>
        <w:tc>
          <w:tcPr>
            <w:tcW w:w="37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37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2"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600"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5"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4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Maternelle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189</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Primaire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6,4</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921</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Secondaire1</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497</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Secondaire2</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269</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Supérieur</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228</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Aucun</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7,0</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7,2</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1,9</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1588</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Autre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5,5</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r>
      <w:tr w:rsidR="00B811FE" w:rsidRPr="0072397D" w:rsidTr="00202FAF">
        <w:trPr>
          <w:trHeight w:val="227"/>
        </w:trPr>
        <w:tc>
          <w:tcPr>
            <w:tcW w:w="939"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NSP</w:t>
            </w:r>
          </w:p>
        </w:tc>
        <w:tc>
          <w:tcPr>
            <w:tcW w:w="37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37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5,3</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2"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600"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5"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4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79</w:t>
            </w:r>
          </w:p>
        </w:tc>
      </w:tr>
      <w:tr w:rsidR="00B811FE" w:rsidRPr="00202FAF" w:rsidTr="00202FAF">
        <w:trPr>
          <w:trHeight w:val="227"/>
        </w:trPr>
        <w:tc>
          <w:tcPr>
            <w:tcW w:w="939"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ind w:firstLineChars="142" w:firstLine="285"/>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Ensemble</w:t>
            </w:r>
          </w:p>
        </w:tc>
        <w:tc>
          <w:tcPr>
            <w:tcW w:w="37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6,0</w:t>
            </w:r>
          </w:p>
        </w:tc>
        <w:tc>
          <w:tcPr>
            <w:tcW w:w="37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6,6</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6,3</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1,0</w:t>
            </w:r>
          </w:p>
        </w:tc>
        <w:tc>
          <w:tcPr>
            <w:tcW w:w="452"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1,7</w:t>
            </w:r>
          </w:p>
        </w:tc>
        <w:tc>
          <w:tcPr>
            <w:tcW w:w="600"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1,2</w:t>
            </w:r>
          </w:p>
        </w:tc>
        <w:tc>
          <w:tcPr>
            <w:tcW w:w="455"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1,8</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1,7</w:t>
            </w:r>
          </w:p>
        </w:tc>
        <w:tc>
          <w:tcPr>
            <w:tcW w:w="44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3816</w:t>
            </w:r>
          </w:p>
        </w:tc>
      </w:tr>
      <w:tr w:rsidR="004C6BF1" w:rsidRPr="00C247B4" w:rsidTr="00202FAF">
        <w:trPr>
          <w:trHeight w:val="237"/>
        </w:trPr>
        <w:tc>
          <w:tcPr>
            <w:tcW w:w="5000" w:type="pct"/>
            <w:gridSpan w:val="10"/>
            <w:tcBorders>
              <w:top w:val="double" w:sz="4" w:space="0" w:color="auto"/>
              <w:bottom w:val="nil"/>
            </w:tcBorders>
            <w:shd w:val="clear" w:color="auto" w:fill="auto"/>
            <w:noWrap/>
            <w:vAlign w:val="bottom"/>
            <w:hideMark/>
          </w:tcPr>
          <w:p w:rsidR="004C6BF1" w:rsidRPr="00B93838" w:rsidRDefault="004C6BF1" w:rsidP="008A14B4">
            <w:pPr>
              <w:keepNext/>
              <w:spacing w:after="0" w:line="240" w:lineRule="auto"/>
              <w:rPr>
                <w:rFonts w:ascii="Trebuchet MS" w:eastAsia="Times New Roman" w:hAnsi="Trebuchet MS" w:cs="Arial"/>
                <w:b/>
                <w:color w:val="000000"/>
                <w:sz w:val="20"/>
                <w:szCs w:val="20"/>
                <w:lang w:eastAsia="fr-FR"/>
              </w:rPr>
            </w:pPr>
            <w:r w:rsidRPr="00B93838">
              <w:rPr>
                <w:rFonts w:ascii="Trebuchet MS" w:hAnsi="Trebuchet MS" w:cs="Arial"/>
                <w:b/>
                <w:bCs/>
                <w:color w:val="000000"/>
                <w:sz w:val="20"/>
              </w:rPr>
              <w:t>Source : ECEB, INSAE, 2015</w:t>
            </w:r>
          </w:p>
        </w:tc>
      </w:tr>
    </w:tbl>
    <w:p w:rsidR="00B811FE" w:rsidRDefault="00B811FE" w:rsidP="00B811FE">
      <w:pPr>
        <w:rPr>
          <w:rFonts w:ascii="Trebuchet MS" w:hAnsi="Trebuchet MS"/>
        </w:rPr>
      </w:pPr>
    </w:p>
    <w:p w:rsidR="001420B2" w:rsidRDefault="00045466" w:rsidP="00045466">
      <w:pPr>
        <w:jc w:val="both"/>
        <w:rPr>
          <w:rFonts w:ascii="Trebuchet MS" w:hAnsi="Trebuchet MS"/>
        </w:rPr>
      </w:pPr>
      <w:r w:rsidRPr="0072397D">
        <w:rPr>
          <w:rFonts w:ascii="Trebuchet MS" w:hAnsi="Trebuchet MS"/>
        </w:rPr>
        <w:t xml:space="preserve">Le nombre moyen d'enfants de 6 à 14 ans fréquentant ou ayant fréquenté dans le ménage est le plus élevé au niveau des ménages ayant </w:t>
      </w:r>
      <w:r w:rsidR="001420B2">
        <w:rPr>
          <w:rFonts w:ascii="Trebuchet MS" w:hAnsi="Trebuchet MS"/>
        </w:rPr>
        <w:t xml:space="preserve">à leur tête une personne de </w:t>
      </w:r>
      <w:r w:rsidRPr="0072397D">
        <w:rPr>
          <w:rFonts w:ascii="Trebuchet MS" w:hAnsi="Trebuchet MS"/>
        </w:rPr>
        <w:t>niveau d’étude primaire (1,3)</w:t>
      </w:r>
      <w:r w:rsidR="001420B2">
        <w:rPr>
          <w:rFonts w:ascii="Trebuchet MS" w:hAnsi="Trebuchet MS"/>
        </w:rPr>
        <w:t>. L</w:t>
      </w:r>
      <w:r w:rsidRPr="0072397D">
        <w:rPr>
          <w:rFonts w:ascii="Trebuchet MS" w:hAnsi="Trebuchet MS"/>
        </w:rPr>
        <w:t xml:space="preserve">e plus faible nombre </w:t>
      </w:r>
      <w:r w:rsidR="001420B2">
        <w:rPr>
          <w:rFonts w:ascii="Trebuchet MS" w:hAnsi="Trebuchet MS"/>
        </w:rPr>
        <w:t>est enregistré</w:t>
      </w:r>
      <w:r w:rsidRPr="0072397D">
        <w:rPr>
          <w:rFonts w:ascii="Trebuchet MS" w:hAnsi="Trebuchet MS"/>
        </w:rPr>
        <w:t xml:space="preserve"> au niveau </w:t>
      </w:r>
      <w:r w:rsidR="001420B2">
        <w:rPr>
          <w:rFonts w:ascii="Trebuchet MS" w:hAnsi="Trebuchet MS"/>
        </w:rPr>
        <w:t xml:space="preserve">ménages dont leur </w:t>
      </w:r>
      <w:r w:rsidRPr="0072397D">
        <w:rPr>
          <w:rFonts w:ascii="Trebuchet MS" w:hAnsi="Trebuchet MS"/>
        </w:rPr>
        <w:t xml:space="preserve">chef </w:t>
      </w:r>
      <w:r w:rsidR="001420B2">
        <w:rPr>
          <w:rFonts w:ascii="Trebuchet MS" w:hAnsi="Trebuchet MS"/>
        </w:rPr>
        <w:t xml:space="preserve">a atteint </w:t>
      </w:r>
      <w:r w:rsidRPr="0072397D">
        <w:rPr>
          <w:rFonts w:ascii="Trebuchet MS" w:hAnsi="Trebuchet MS"/>
        </w:rPr>
        <w:t>le niveau secondaire 2 (0,8) et supérieur (0,8)</w:t>
      </w:r>
      <w:r w:rsidR="001420B2">
        <w:rPr>
          <w:rFonts w:ascii="Trebuchet MS" w:hAnsi="Trebuchet MS"/>
        </w:rPr>
        <w:t>,</w:t>
      </w:r>
      <w:r w:rsidRPr="0072397D">
        <w:rPr>
          <w:rFonts w:ascii="Trebuchet MS" w:hAnsi="Trebuchet MS"/>
        </w:rPr>
        <w:t xml:space="preserve"> en dehors de ceux </w:t>
      </w:r>
      <w:r w:rsidR="001420B2">
        <w:rPr>
          <w:rFonts w:ascii="Trebuchet MS" w:hAnsi="Trebuchet MS"/>
        </w:rPr>
        <w:t>pour qui la réponse pour le niveau d’instruction est</w:t>
      </w:r>
      <w:r w:rsidRPr="0072397D">
        <w:rPr>
          <w:rFonts w:ascii="Trebuchet MS" w:hAnsi="Trebuchet MS"/>
        </w:rPr>
        <w:t xml:space="preserve"> « Ne sait pas » (0,5).</w:t>
      </w:r>
    </w:p>
    <w:p w:rsidR="00045466" w:rsidRPr="0072397D" w:rsidRDefault="00045466" w:rsidP="00162221">
      <w:pPr>
        <w:jc w:val="both"/>
        <w:rPr>
          <w:rFonts w:ascii="Trebuchet MS" w:hAnsi="Trebuchet MS"/>
        </w:rPr>
      </w:pPr>
      <w:r w:rsidRPr="0072397D">
        <w:rPr>
          <w:rFonts w:ascii="Trebuchet MS" w:hAnsi="Trebuchet MS"/>
        </w:rPr>
        <w:t xml:space="preserve">Quant au nombre moyen d'hommes adultes de 15 ans et plus </w:t>
      </w:r>
      <w:r w:rsidR="004007CE">
        <w:rPr>
          <w:rFonts w:ascii="Trebuchet MS" w:hAnsi="Trebuchet MS"/>
        </w:rPr>
        <w:t>par</w:t>
      </w:r>
      <w:r w:rsidRPr="0072397D">
        <w:rPr>
          <w:rFonts w:ascii="Trebuchet MS" w:hAnsi="Trebuchet MS"/>
        </w:rPr>
        <w:t xml:space="preserve"> ménage</w:t>
      </w:r>
      <w:r w:rsidR="004007CE">
        <w:rPr>
          <w:rFonts w:ascii="Trebuchet MS" w:hAnsi="Trebuchet MS"/>
        </w:rPr>
        <w:t>,</w:t>
      </w:r>
      <w:r w:rsidRPr="0072397D">
        <w:rPr>
          <w:rFonts w:ascii="Trebuchet MS" w:hAnsi="Trebuchet MS"/>
        </w:rPr>
        <w:t xml:space="preserve"> il est plus él</w:t>
      </w:r>
      <w:r w:rsidR="004007CE">
        <w:rPr>
          <w:rFonts w:ascii="Trebuchet MS" w:hAnsi="Trebuchet MS"/>
        </w:rPr>
        <w:t>evé</w:t>
      </w:r>
      <w:r w:rsidRPr="0072397D">
        <w:rPr>
          <w:rFonts w:ascii="Trebuchet MS" w:hAnsi="Trebuchet MS"/>
        </w:rPr>
        <w:t xml:space="preserve"> au niveau des</w:t>
      </w:r>
      <w:r w:rsidR="004007CE">
        <w:rPr>
          <w:rFonts w:ascii="Trebuchet MS" w:hAnsi="Trebuchet MS"/>
        </w:rPr>
        <w:t xml:space="preserve"> ménages dont leur </w:t>
      </w:r>
      <w:r w:rsidRPr="0072397D">
        <w:rPr>
          <w:rFonts w:ascii="Trebuchet MS" w:hAnsi="Trebuchet MS"/>
        </w:rPr>
        <w:t xml:space="preserve">chef n’a aucun niveau d’études (1,9) et plus faible au niveau de ceux </w:t>
      </w:r>
      <w:r w:rsidR="004007CE">
        <w:rPr>
          <w:rFonts w:ascii="Trebuchet MS" w:hAnsi="Trebuchet MS"/>
        </w:rPr>
        <w:t xml:space="preserve">dont le chef </w:t>
      </w:r>
      <w:r w:rsidRPr="0072397D">
        <w:rPr>
          <w:rFonts w:ascii="Trebuchet MS" w:hAnsi="Trebuchet MS"/>
        </w:rPr>
        <w:t>a</w:t>
      </w:r>
      <w:r w:rsidR="002B5774">
        <w:rPr>
          <w:rFonts w:ascii="Trebuchet MS" w:hAnsi="Trebuchet MS"/>
        </w:rPr>
        <w:t xml:space="preserve"> atteint</w:t>
      </w:r>
      <w:r w:rsidRPr="0072397D">
        <w:rPr>
          <w:rFonts w:ascii="Trebuchet MS" w:hAnsi="Trebuchet MS"/>
        </w:rPr>
        <w:t xml:space="preserve"> le niveau d’étude supérieur (1,5) en dehors de ceux qui avaient déclaré « autre ». Pour ce qui est du nombre de femmes adultes de 15 ans et plus </w:t>
      </w:r>
      <w:r w:rsidR="002B5774">
        <w:rPr>
          <w:rFonts w:ascii="Trebuchet MS" w:hAnsi="Trebuchet MS"/>
        </w:rPr>
        <w:t>par</w:t>
      </w:r>
      <w:r w:rsidRPr="0072397D">
        <w:rPr>
          <w:rFonts w:ascii="Trebuchet MS" w:hAnsi="Trebuchet MS"/>
        </w:rPr>
        <w:t xml:space="preserve"> ménage, on enregistre l</w:t>
      </w:r>
      <w:r w:rsidR="002B5774">
        <w:rPr>
          <w:rFonts w:ascii="Trebuchet MS" w:hAnsi="Trebuchet MS"/>
        </w:rPr>
        <w:t>a moyenn</w:t>
      </w:r>
      <w:r w:rsidRPr="0072397D">
        <w:rPr>
          <w:rFonts w:ascii="Trebuchet MS" w:hAnsi="Trebuchet MS"/>
        </w:rPr>
        <w:t xml:space="preserve">e </w:t>
      </w:r>
      <w:r w:rsidR="002B5774">
        <w:rPr>
          <w:rFonts w:ascii="Trebuchet MS" w:hAnsi="Trebuchet MS"/>
        </w:rPr>
        <w:t xml:space="preserve">la </w:t>
      </w:r>
      <w:r w:rsidRPr="0072397D">
        <w:rPr>
          <w:rFonts w:ascii="Trebuchet MS" w:hAnsi="Trebuchet MS"/>
        </w:rPr>
        <w:t>plus élevé</w:t>
      </w:r>
      <w:r w:rsidR="002B5774">
        <w:rPr>
          <w:rFonts w:ascii="Trebuchet MS" w:hAnsi="Trebuchet MS"/>
        </w:rPr>
        <w:t>e</w:t>
      </w:r>
      <w:r w:rsidRPr="0072397D">
        <w:rPr>
          <w:rFonts w:ascii="Trebuchet MS" w:hAnsi="Trebuchet MS"/>
        </w:rPr>
        <w:t xml:space="preserve"> au </w:t>
      </w:r>
      <w:r w:rsidR="002B5774">
        <w:rPr>
          <w:rFonts w:ascii="Trebuchet MS" w:hAnsi="Trebuchet MS"/>
        </w:rPr>
        <w:t>niveau pour les ménages dont le chef</w:t>
      </w:r>
      <w:r w:rsidRPr="0072397D">
        <w:rPr>
          <w:rFonts w:ascii="Trebuchet MS" w:hAnsi="Trebuchet MS"/>
        </w:rPr>
        <w:t xml:space="preserve"> n’a aucun niveau </w:t>
      </w:r>
      <w:r w:rsidR="002B5774">
        <w:rPr>
          <w:rFonts w:ascii="Trebuchet MS" w:hAnsi="Trebuchet MS"/>
        </w:rPr>
        <w:t>d’instruction et on enregistre la</w:t>
      </w:r>
      <w:r w:rsidRPr="0072397D">
        <w:rPr>
          <w:rFonts w:ascii="Trebuchet MS" w:hAnsi="Trebuchet MS"/>
        </w:rPr>
        <w:t xml:space="preserve"> plus faible </w:t>
      </w:r>
      <w:r w:rsidR="002B5774">
        <w:rPr>
          <w:rFonts w:ascii="Trebuchet MS" w:hAnsi="Trebuchet MS"/>
        </w:rPr>
        <w:t xml:space="preserve">moyenne pour les ménages dont le chef </w:t>
      </w:r>
      <w:r w:rsidRPr="0072397D">
        <w:rPr>
          <w:rFonts w:ascii="Trebuchet MS" w:hAnsi="Trebuchet MS"/>
        </w:rPr>
        <w:t>a</w:t>
      </w:r>
      <w:r w:rsidR="002B5774">
        <w:rPr>
          <w:rFonts w:ascii="Trebuchet MS" w:hAnsi="Trebuchet MS"/>
        </w:rPr>
        <w:t xml:space="preserve"> atteint le niveau d’étude </w:t>
      </w:r>
      <w:r w:rsidRPr="0072397D">
        <w:rPr>
          <w:rFonts w:ascii="Trebuchet MS" w:hAnsi="Trebuchet MS"/>
        </w:rPr>
        <w:t>supérieur (1,3).</w:t>
      </w:r>
    </w:p>
    <w:p w:rsidR="00045466" w:rsidRPr="0072397D" w:rsidRDefault="00045466" w:rsidP="00B811FE">
      <w:pPr>
        <w:rPr>
          <w:rFonts w:ascii="Trebuchet MS" w:hAnsi="Trebuchet MS"/>
        </w:rPr>
      </w:pPr>
    </w:p>
    <w:p w:rsidR="00B811FE" w:rsidRPr="006C2B3F" w:rsidRDefault="00EE3E92" w:rsidP="00D02C71">
      <w:pPr>
        <w:pStyle w:val="Titre3"/>
      </w:pPr>
      <w:hyperlink w:anchor="_Toc347429980" w:history="1">
        <w:bookmarkStart w:id="86" w:name="_Toc425961635"/>
        <w:bookmarkStart w:id="87" w:name="_Toc426359393"/>
        <w:bookmarkStart w:id="88" w:name="_Toc426359429"/>
        <w:r w:rsidR="00B811FE" w:rsidRPr="006C2B3F">
          <w:t>Caractéristiques de l’habitat des ménages</w:t>
        </w:r>
        <w:bookmarkEnd w:id="86"/>
        <w:bookmarkEnd w:id="87"/>
        <w:bookmarkEnd w:id="88"/>
        <w:r w:rsidR="00B811FE" w:rsidRPr="006C2B3F">
          <w:rPr>
            <w:webHidden/>
          </w:rPr>
          <w:tab/>
        </w:r>
      </w:hyperlink>
    </w:p>
    <w:p w:rsidR="00B811FE" w:rsidRDefault="00B811FE" w:rsidP="00B811FE">
      <w:pPr>
        <w:tabs>
          <w:tab w:val="left" w:pos="-1440"/>
        </w:tabs>
        <w:jc w:val="both"/>
        <w:rPr>
          <w:rFonts w:ascii="Trebuchet MS" w:hAnsi="Trebuchet MS"/>
          <w:bCs/>
        </w:rPr>
      </w:pPr>
      <w:r w:rsidRPr="0072397D">
        <w:rPr>
          <w:rFonts w:ascii="Trebuchet MS" w:hAnsi="Trebuchet MS"/>
          <w:bCs/>
        </w:rPr>
        <w:t xml:space="preserve">L’analyse des résultats du </w:t>
      </w:r>
      <w:r w:rsidR="00287893">
        <w:rPr>
          <w:rFonts w:ascii="Trebuchet MS" w:hAnsi="Trebuchet MS"/>
          <w:bCs/>
        </w:rPr>
        <w:t xml:space="preserve">graphique </w:t>
      </w:r>
      <w:r w:rsidRPr="0072397D">
        <w:rPr>
          <w:rFonts w:ascii="Trebuchet MS" w:hAnsi="Trebuchet MS"/>
          <w:bCs/>
        </w:rPr>
        <w:t>ci-</w:t>
      </w:r>
      <w:r w:rsidR="00407065">
        <w:rPr>
          <w:rFonts w:ascii="Trebuchet MS" w:hAnsi="Trebuchet MS"/>
          <w:bCs/>
        </w:rPr>
        <w:t>après</w:t>
      </w:r>
      <w:r w:rsidRPr="0072397D">
        <w:rPr>
          <w:rFonts w:ascii="Trebuchet MS" w:hAnsi="Trebuchet MS"/>
          <w:bCs/>
        </w:rPr>
        <w:t xml:space="preserve"> révèle, sur l’ensemble des ménages, qu</w:t>
      </w:r>
      <w:r w:rsidR="00F42676">
        <w:rPr>
          <w:rFonts w:ascii="Trebuchet MS" w:hAnsi="Trebuchet MS"/>
          <w:bCs/>
        </w:rPr>
        <w:t>’une</w:t>
      </w:r>
      <w:r w:rsidR="00A271DE">
        <w:rPr>
          <w:rFonts w:ascii="Trebuchet MS" w:hAnsi="Trebuchet MS"/>
          <w:bCs/>
        </w:rPr>
        <w:t xml:space="preserve">forte </w:t>
      </w:r>
      <w:r w:rsidRPr="0072397D">
        <w:rPr>
          <w:rFonts w:ascii="Trebuchet MS" w:hAnsi="Trebuchet MS"/>
          <w:bCs/>
        </w:rPr>
        <w:t>proportionde ménages</w:t>
      </w:r>
      <w:r w:rsidR="00A271DE">
        <w:rPr>
          <w:rFonts w:ascii="Trebuchet MS" w:hAnsi="Trebuchet MS"/>
          <w:bCs/>
        </w:rPr>
        <w:t xml:space="preserve"> (</w:t>
      </w:r>
      <w:r w:rsidR="00A271DE" w:rsidRPr="0072397D">
        <w:rPr>
          <w:rFonts w:ascii="Trebuchet MS" w:hAnsi="Trebuchet MS"/>
          <w:bCs/>
        </w:rPr>
        <w:t>35,5%</w:t>
      </w:r>
      <w:r w:rsidR="00A271DE">
        <w:rPr>
          <w:rFonts w:ascii="Trebuchet MS" w:hAnsi="Trebuchet MS"/>
          <w:bCs/>
        </w:rPr>
        <w:t xml:space="preserve">)habite </w:t>
      </w:r>
      <w:r w:rsidRPr="0072397D">
        <w:rPr>
          <w:rFonts w:ascii="Trebuchet MS" w:hAnsi="Trebuchet MS"/>
          <w:bCs/>
        </w:rPr>
        <w:t xml:space="preserve">un logement de type maison en bandes (compartimentées). </w:t>
      </w:r>
      <w:r w:rsidR="00A271DE">
        <w:rPr>
          <w:rFonts w:ascii="Trebuchet MS" w:hAnsi="Trebuchet MS"/>
          <w:bCs/>
        </w:rPr>
        <w:t xml:space="preserve">Il est à remarquer </w:t>
      </w:r>
      <w:r w:rsidRPr="0072397D">
        <w:rPr>
          <w:rFonts w:ascii="Trebuchet MS" w:hAnsi="Trebuchet MS"/>
          <w:bCs/>
        </w:rPr>
        <w:t>également qu’une proportion</w:t>
      </w:r>
      <w:r w:rsidR="00A271DE">
        <w:rPr>
          <w:rFonts w:ascii="Trebuchet MS" w:hAnsi="Trebuchet MS"/>
          <w:bCs/>
        </w:rPr>
        <w:t xml:space="preserve"> relativement importante</w:t>
      </w:r>
      <w:r w:rsidRPr="0072397D">
        <w:rPr>
          <w:rFonts w:ascii="Trebuchet MS" w:hAnsi="Trebuchet MS"/>
          <w:bCs/>
        </w:rPr>
        <w:t xml:space="preserve"> de ménages habite dans des maisons isolées (29,4%), dans des maisons individuelles (18,2%) et dans des cases isolées (15,4%). En dehors du type de logement « Autre », une très faible proportion de ménages (soit 0,9%) habite dans des immeubles (maisons à étage). </w:t>
      </w:r>
    </w:p>
    <w:p w:rsidR="00154DEF" w:rsidRDefault="00154DEF" w:rsidP="00154DEF">
      <w:pPr>
        <w:spacing w:after="0"/>
        <w:rPr>
          <w:rFonts w:ascii="Trebuchet MS" w:hAnsi="Trebuchet MS"/>
        </w:rPr>
      </w:pPr>
    </w:p>
    <w:p w:rsidR="00647EC0" w:rsidRDefault="00647EC0" w:rsidP="00154DEF">
      <w:pPr>
        <w:spacing w:after="0"/>
        <w:rPr>
          <w:rFonts w:ascii="Trebuchet MS" w:hAnsi="Trebuchet MS"/>
        </w:rPr>
      </w:pPr>
    </w:p>
    <w:p w:rsidR="00647EC0" w:rsidRDefault="00647EC0" w:rsidP="00154DEF">
      <w:pPr>
        <w:spacing w:after="0"/>
        <w:rPr>
          <w:rFonts w:ascii="Trebuchet MS" w:hAnsi="Trebuchet MS"/>
        </w:rPr>
      </w:pPr>
    </w:p>
    <w:p w:rsidR="00647EC0" w:rsidRDefault="00647EC0" w:rsidP="00154DEF">
      <w:pPr>
        <w:spacing w:after="0"/>
        <w:rPr>
          <w:rFonts w:ascii="Trebuchet MS" w:hAnsi="Trebuchet MS"/>
        </w:rPr>
      </w:pPr>
    </w:p>
    <w:p w:rsidR="00647EC0" w:rsidRDefault="00647EC0" w:rsidP="008A14B4">
      <w:pPr>
        <w:keepNext/>
        <w:spacing w:after="0"/>
        <w:rPr>
          <w:rFonts w:ascii="Trebuchet MS" w:hAnsi="Trebuchet MS"/>
        </w:rPr>
      </w:pPr>
      <w:bookmarkStart w:id="89" w:name="_Toc426359256"/>
      <w:r w:rsidRPr="00647EC0">
        <w:rPr>
          <w:rFonts w:ascii="Trebuchet MS" w:hAnsi="Trebuchet MS"/>
          <w:b/>
          <w:sz w:val="20"/>
        </w:rPr>
        <w:t xml:space="preserve">Graphique </w:t>
      </w:r>
      <w:r w:rsidR="00792500" w:rsidRPr="00647EC0">
        <w:rPr>
          <w:rFonts w:ascii="Trebuchet MS" w:hAnsi="Trebuchet MS"/>
          <w:b/>
          <w:sz w:val="20"/>
        </w:rPr>
        <w:fldChar w:fldCharType="begin"/>
      </w:r>
      <w:r w:rsidRPr="00647EC0">
        <w:rPr>
          <w:rFonts w:ascii="Trebuchet MS" w:hAnsi="Trebuchet MS"/>
          <w:b/>
          <w:sz w:val="20"/>
        </w:rPr>
        <w:instrText xml:space="preserve"> SEQ Graphique \* ARABIC </w:instrText>
      </w:r>
      <w:r w:rsidR="00792500" w:rsidRPr="00647EC0">
        <w:rPr>
          <w:rFonts w:ascii="Trebuchet MS" w:hAnsi="Trebuchet MS"/>
          <w:b/>
          <w:sz w:val="20"/>
        </w:rPr>
        <w:fldChar w:fldCharType="separate"/>
      </w:r>
      <w:r w:rsidR="00605DE4">
        <w:rPr>
          <w:rFonts w:ascii="Trebuchet MS" w:hAnsi="Trebuchet MS"/>
          <w:b/>
          <w:noProof/>
          <w:sz w:val="20"/>
        </w:rPr>
        <w:t>2</w:t>
      </w:r>
      <w:r w:rsidR="00792500" w:rsidRPr="00647EC0">
        <w:rPr>
          <w:rFonts w:ascii="Trebuchet MS" w:hAnsi="Trebuchet MS"/>
          <w:b/>
          <w:sz w:val="20"/>
        </w:rPr>
        <w:fldChar w:fldCharType="end"/>
      </w:r>
      <w:r w:rsidRPr="00647EC0">
        <w:rPr>
          <w:rFonts w:ascii="Trebuchet MS" w:hAnsi="Trebuchet MS"/>
          <w:b/>
          <w:sz w:val="20"/>
        </w:rPr>
        <w:t>: Répartition des ménages selon le type de logement occupé</w:t>
      </w:r>
      <w:bookmarkEnd w:id="89"/>
    </w:p>
    <w:p w:rsidR="00647EC0" w:rsidRDefault="00647EC0" w:rsidP="008A14B4">
      <w:pPr>
        <w:keepNext/>
        <w:spacing w:after="0"/>
        <w:rPr>
          <w:rFonts w:ascii="Trebuchet MS" w:hAnsi="Trebuchet MS"/>
        </w:rPr>
      </w:pPr>
      <w:r w:rsidRPr="00154DEF">
        <w:rPr>
          <w:rFonts w:ascii="Trebuchet MS" w:hAnsi="Trebuchet MS"/>
          <w:noProof/>
          <w:lang w:eastAsia="fr-FR"/>
        </w:rPr>
        <w:drawing>
          <wp:inline distT="0" distB="0" distL="0" distR="0">
            <wp:extent cx="5210175" cy="2743200"/>
            <wp:effectExtent l="0" t="0" r="9525" b="19050"/>
            <wp:docPr id="2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47EC0" w:rsidRPr="00647EC0" w:rsidRDefault="00647EC0" w:rsidP="008A14B4">
      <w:pPr>
        <w:keepNext/>
        <w:spacing w:after="0"/>
        <w:rPr>
          <w:rFonts w:ascii="Trebuchet MS" w:hAnsi="Trebuchet MS"/>
          <w:b/>
        </w:rPr>
      </w:pPr>
      <w:r w:rsidRPr="00647EC0">
        <w:rPr>
          <w:rFonts w:ascii="Trebuchet MS" w:hAnsi="Trebuchet MS" w:cs="Arial"/>
          <w:b/>
          <w:bCs/>
          <w:color w:val="000000"/>
          <w:sz w:val="20"/>
        </w:rPr>
        <w:t>Source : ECEB, INSAE, 2015</w:t>
      </w:r>
    </w:p>
    <w:p w:rsidR="00647EC0" w:rsidRDefault="00647EC0" w:rsidP="00647EC0">
      <w:pPr>
        <w:rPr>
          <w:rFonts w:ascii="Trebuchet MS" w:hAnsi="Trebuchet MS"/>
        </w:rPr>
      </w:pPr>
    </w:p>
    <w:p w:rsidR="002B435F" w:rsidRPr="00F57BAA" w:rsidRDefault="002B435F" w:rsidP="00F03E08">
      <w:pPr>
        <w:pStyle w:val="Titre4"/>
        <w:numPr>
          <w:ilvl w:val="2"/>
          <w:numId w:val="6"/>
        </w:numPr>
      </w:pPr>
      <w:bookmarkStart w:id="90" w:name="_Toc425961636"/>
      <w:bookmarkStart w:id="91" w:name="_Toc426359430"/>
      <w:r w:rsidRPr="00F57BAA">
        <w:t xml:space="preserve">Structure des ménages </w:t>
      </w:r>
      <w:r>
        <w:t>selon le type de logement utilisé</w:t>
      </w:r>
      <w:r w:rsidR="00902785">
        <w:t xml:space="preserve"> suivant le milieu de résidence</w:t>
      </w:r>
      <w:r w:rsidR="00DB76D8">
        <w:t xml:space="preserve"> et le sexe du chef de ménage</w:t>
      </w:r>
      <w:bookmarkEnd w:id="90"/>
      <w:bookmarkEnd w:id="91"/>
    </w:p>
    <w:p w:rsidR="00287893" w:rsidRDefault="00B811FE" w:rsidP="004D3DCB">
      <w:pPr>
        <w:tabs>
          <w:tab w:val="left" w:pos="-1440"/>
        </w:tabs>
        <w:jc w:val="both"/>
        <w:rPr>
          <w:rFonts w:ascii="Trebuchet MS" w:hAnsi="Trebuchet MS"/>
          <w:bCs/>
        </w:rPr>
      </w:pPr>
      <w:r w:rsidRPr="0072397D">
        <w:rPr>
          <w:rFonts w:ascii="Trebuchet MS" w:hAnsi="Trebuchet MS"/>
          <w:bCs/>
        </w:rPr>
        <w:t xml:space="preserve">En milieu urbain comme en milieu rural, l’utilisation de logement de type « maison en bandes (compartimenté) » demeure la plus </w:t>
      </w:r>
      <w:r w:rsidR="00A271DE">
        <w:rPr>
          <w:rFonts w:ascii="Trebuchet MS" w:hAnsi="Trebuchet MS"/>
          <w:bCs/>
        </w:rPr>
        <w:t>fréquente</w:t>
      </w:r>
      <w:r w:rsidRPr="0072397D">
        <w:rPr>
          <w:rFonts w:ascii="Trebuchet MS" w:hAnsi="Trebuchet MS"/>
          <w:bCs/>
        </w:rPr>
        <w:t xml:space="preserve">. Ce type </w:t>
      </w:r>
      <w:r w:rsidR="002B435F">
        <w:rPr>
          <w:rFonts w:ascii="Trebuchet MS" w:hAnsi="Trebuchet MS"/>
          <w:bCs/>
        </w:rPr>
        <w:t xml:space="preserve">de logement </w:t>
      </w:r>
      <w:r w:rsidRPr="0072397D">
        <w:rPr>
          <w:rFonts w:ascii="Trebuchet MS" w:hAnsi="Trebuchet MS"/>
          <w:bCs/>
        </w:rPr>
        <w:t xml:space="preserve">est utilisé à 40% par les ménages en milieu urbain contre 31,8% en milieu rural. </w:t>
      </w:r>
      <w:r w:rsidR="004D3DCB" w:rsidRPr="0072397D">
        <w:rPr>
          <w:rFonts w:ascii="Trebuchet MS" w:hAnsi="Trebuchet MS"/>
          <w:bCs/>
        </w:rPr>
        <w:t xml:space="preserve">L’utilisation de maison isolée </w:t>
      </w:r>
      <w:r w:rsidR="00DB76D8">
        <w:rPr>
          <w:rFonts w:ascii="Trebuchet MS" w:hAnsi="Trebuchet MS"/>
          <w:bCs/>
        </w:rPr>
        <w:t>et</w:t>
      </w:r>
      <w:r w:rsidR="004D3DCB" w:rsidRPr="0072397D">
        <w:rPr>
          <w:rFonts w:ascii="Trebuchet MS" w:hAnsi="Trebuchet MS"/>
          <w:bCs/>
        </w:rPr>
        <w:t xml:space="preserve"> de maison individuelle demeure également </w:t>
      </w:r>
      <w:r w:rsidR="004D3DCB">
        <w:rPr>
          <w:rFonts w:ascii="Trebuchet MS" w:hAnsi="Trebuchet MS"/>
          <w:bCs/>
        </w:rPr>
        <w:t>importante quels que soi</w:t>
      </w:r>
      <w:r w:rsidR="004D3DCB" w:rsidRPr="0072397D">
        <w:rPr>
          <w:rFonts w:ascii="Trebuchet MS" w:hAnsi="Trebuchet MS"/>
          <w:bCs/>
        </w:rPr>
        <w:t>t le milieu de résidence. En effet cette utilisation est d’une part de 20,3% en milieu urbain contre 30,1% en milieu rural pour le type de logement « maison isolée » et d’autre part de 20,3% en milieu urbain contre 16,7% en milieu rural pour le type « maison individuelle ».</w:t>
      </w:r>
    </w:p>
    <w:p w:rsidR="004D3DCB" w:rsidRDefault="00DB76D8" w:rsidP="004D3DCB">
      <w:pPr>
        <w:tabs>
          <w:tab w:val="left" w:pos="-1440"/>
        </w:tabs>
        <w:jc w:val="both"/>
        <w:rPr>
          <w:rFonts w:ascii="Trebuchet MS" w:hAnsi="Trebuchet MS"/>
          <w:bCs/>
        </w:rPr>
      </w:pPr>
      <w:r>
        <w:rPr>
          <w:rFonts w:ascii="Trebuchet MS" w:hAnsi="Trebuchet MS"/>
          <w:bCs/>
        </w:rPr>
        <w:t xml:space="preserve">A </w:t>
      </w:r>
      <w:r w:rsidRPr="0072397D">
        <w:rPr>
          <w:rFonts w:ascii="Trebuchet MS" w:hAnsi="Trebuchet MS"/>
          <w:bCs/>
        </w:rPr>
        <w:t>l’inverse, hormis le type de logement « autre », on note que quel que soit le milieu</w:t>
      </w:r>
      <w:r>
        <w:rPr>
          <w:rFonts w:ascii="Trebuchet MS" w:hAnsi="Trebuchet MS"/>
          <w:bCs/>
        </w:rPr>
        <w:t xml:space="preserve"> de résidence</w:t>
      </w:r>
      <w:r w:rsidRPr="0072397D">
        <w:rPr>
          <w:rFonts w:ascii="Trebuchet MS" w:hAnsi="Trebuchet MS"/>
          <w:bCs/>
        </w:rPr>
        <w:t>, l’utilisation d’immeuble (maison à étage) comme logement reste très faible (1,8% en milieu urbain contre 0,2% en milieu urbain).</w:t>
      </w:r>
    </w:p>
    <w:p w:rsidR="00287893" w:rsidRDefault="00287893" w:rsidP="00287893">
      <w:pPr>
        <w:tabs>
          <w:tab w:val="left" w:pos="-1440"/>
        </w:tabs>
        <w:jc w:val="both"/>
        <w:rPr>
          <w:rFonts w:ascii="Trebuchet MS" w:hAnsi="Trebuchet MS"/>
          <w:bCs/>
        </w:rPr>
      </w:pPr>
      <w:r>
        <w:rPr>
          <w:rFonts w:ascii="Trebuchet MS" w:hAnsi="Trebuchet MS"/>
          <w:bCs/>
        </w:rPr>
        <w:t xml:space="preserve">Par rapport au sexe du chef de ménage, parmi les ménages dirigés par les hommes, 35,3% utilisent des </w:t>
      </w:r>
      <w:r w:rsidRPr="0072397D">
        <w:rPr>
          <w:rFonts w:ascii="Trebuchet MS" w:hAnsi="Trebuchet MS"/>
          <w:bCs/>
        </w:rPr>
        <w:t>« maison</w:t>
      </w:r>
      <w:r>
        <w:rPr>
          <w:rFonts w:ascii="Trebuchet MS" w:hAnsi="Trebuchet MS"/>
          <w:bCs/>
        </w:rPr>
        <w:t>s</w:t>
      </w:r>
      <w:r w:rsidRPr="0072397D">
        <w:rPr>
          <w:rFonts w:ascii="Trebuchet MS" w:hAnsi="Trebuchet MS"/>
          <w:bCs/>
        </w:rPr>
        <w:t xml:space="preserve"> en bandes (compartimenté) »</w:t>
      </w:r>
      <w:r>
        <w:rPr>
          <w:rFonts w:ascii="Trebuchet MS" w:hAnsi="Trebuchet MS"/>
          <w:bCs/>
        </w:rPr>
        <w:t xml:space="preserve"> et 30,5% utilisent des « maisons isolées ». La même tendance est observée au niveau des ménages dirigés par les femmes. En effet, parmi les ménages dirigés par les femmes, 35,5% utilisent des </w:t>
      </w:r>
      <w:r w:rsidRPr="0072397D">
        <w:rPr>
          <w:rFonts w:ascii="Trebuchet MS" w:hAnsi="Trebuchet MS"/>
          <w:bCs/>
        </w:rPr>
        <w:t>« maison</w:t>
      </w:r>
      <w:r>
        <w:rPr>
          <w:rFonts w:ascii="Trebuchet MS" w:hAnsi="Trebuchet MS"/>
          <w:bCs/>
        </w:rPr>
        <w:t>s</w:t>
      </w:r>
      <w:r w:rsidRPr="0072397D">
        <w:rPr>
          <w:rFonts w:ascii="Trebuchet MS" w:hAnsi="Trebuchet MS"/>
          <w:bCs/>
        </w:rPr>
        <w:t xml:space="preserve"> en bandes (compartimenté) »</w:t>
      </w:r>
      <w:r>
        <w:rPr>
          <w:rFonts w:ascii="Trebuchet MS" w:hAnsi="Trebuchet MS"/>
          <w:bCs/>
        </w:rPr>
        <w:t xml:space="preserve"> et 24,7% utilisent des « maisons isolées ».</w:t>
      </w:r>
    </w:p>
    <w:p w:rsidR="00DB76D8" w:rsidRPr="00647EC0" w:rsidRDefault="00647EC0" w:rsidP="008A14B4">
      <w:pPr>
        <w:keepNext/>
        <w:tabs>
          <w:tab w:val="left" w:pos="-1440"/>
        </w:tabs>
        <w:spacing w:after="0" w:line="240" w:lineRule="auto"/>
        <w:jc w:val="both"/>
        <w:rPr>
          <w:rFonts w:ascii="Trebuchet MS" w:hAnsi="Trebuchet MS"/>
          <w:b/>
          <w:bCs/>
        </w:rPr>
      </w:pPr>
      <w:bookmarkStart w:id="92" w:name="_Toc425955985"/>
      <w:bookmarkStart w:id="93" w:name="_Toc426359326"/>
      <w:r w:rsidRPr="00647EC0">
        <w:rPr>
          <w:rFonts w:ascii="Trebuchet MS" w:hAnsi="Trebuchet MS"/>
          <w:b/>
          <w:sz w:val="20"/>
        </w:rPr>
        <w:t xml:space="preserve">Tableau </w:t>
      </w:r>
      <w:r w:rsidR="00792500" w:rsidRPr="00647EC0">
        <w:rPr>
          <w:rFonts w:ascii="Trebuchet MS" w:hAnsi="Trebuchet MS"/>
          <w:b/>
          <w:sz w:val="20"/>
        </w:rPr>
        <w:fldChar w:fldCharType="begin"/>
      </w:r>
      <w:r w:rsidRPr="00647EC0">
        <w:rPr>
          <w:rFonts w:ascii="Trebuchet MS" w:hAnsi="Trebuchet MS"/>
          <w:b/>
          <w:sz w:val="20"/>
        </w:rPr>
        <w:instrText xml:space="preserve"> SEQ Tableau \* ARABIC </w:instrText>
      </w:r>
      <w:r w:rsidR="00792500" w:rsidRPr="00647EC0">
        <w:rPr>
          <w:rFonts w:ascii="Trebuchet MS" w:hAnsi="Trebuchet MS"/>
          <w:b/>
          <w:sz w:val="20"/>
        </w:rPr>
        <w:fldChar w:fldCharType="separate"/>
      </w:r>
      <w:r w:rsidR="00556962">
        <w:rPr>
          <w:rFonts w:ascii="Trebuchet MS" w:hAnsi="Trebuchet MS"/>
          <w:b/>
          <w:noProof/>
          <w:sz w:val="20"/>
        </w:rPr>
        <w:t>7</w:t>
      </w:r>
      <w:r w:rsidR="00792500" w:rsidRPr="00647EC0">
        <w:rPr>
          <w:rFonts w:ascii="Trebuchet MS" w:hAnsi="Trebuchet MS"/>
          <w:b/>
          <w:sz w:val="20"/>
        </w:rPr>
        <w:fldChar w:fldCharType="end"/>
      </w:r>
      <w:r w:rsidRPr="00647EC0">
        <w:rPr>
          <w:rFonts w:ascii="Trebuchet MS" w:hAnsi="Trebuchet MS"/>
          <w:b/>
          <w:color w:val="000000"/>
          <w:sz w:val="20"/>
        </w:rPr>
        <w:t>: Répartition (%) des ménages selon le type de logement utilisé et le statut d’occupation, suivant le milieu de résidence et suivant le sexe du chef de ménage</w:t>
      </w:r>
      <w:bookmarkEnd w:id="92"/>
      <w:bookmarkEnd w:id="93"/>
    </w:p>
    <w:tbl>
      <w:tblPr>
        <w:tblW w:w="4925"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098"/>
        <w:gridCol w:w="746"/>
        <w:gridCol w:w="695"/>
        <w:gridCol w:w="160"/>
        <w:gridCol w:w="1183"/>
        <w:gridCol w:w="991"/>
        <w:gridCol w:w="1069"/>
        <w:gridCol w:w="1132"/>
      </w:tblGrid>
      <w:tr w:rsidR="00902785" w:rsidRPr="009727C1" w:rsidTr="00647EC0">
        <w:trPr>
          <w:trHeight w:val="250"/>
        </w:trPr>
        <w:tc>
          <w:tcPr>
            <w:tcW w:w="1707" w:type="pct"/>
            <w:tcBorders>
              <w:top w:val="double" w:sz="4" w:space="0" w:color="auto"/>
              <w:bottom w:val="nil"/>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w:t>
            </w:r>
          </w:p>
        </w:tc>
        <w:tc>
          <w:tcPr>
            <w:tcW w:w="2669" w:type="pct"/>
            <w:gridSpan w:val="6"/>
            <w:tcBorders>
              <w:top w:val="double" w:sz="4" w:space="0" w:color="auto"/>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Pourcentage de ménages selon le type de logement et le statut d'occupation</w:t>
            </w:r>
          </w:p>
        </w:tc>
        <w:tc>
          <w:tcPr>
            <w:tcW w:w="624" w:type="pct"/>
            <w:vMerge w:val="restart"/>
            <w:tcBorders>
              <w:top w:val="double" w:sz="4" w:space="0" w:color="auto"/>
            </w:tcBorders>
            <w:shd w:val="clear" w:color="auto" w:fill="auto"/>
            <w:noWrap/>
            <w:vAlign w:val="center"/>
            <w:hideMark/>
          </w:tcPr>
          <w:p w:rsidR="00902785" w:rsidRPr="009727C1" w:rsidRDefault="00902785" w:rsidP="008A14B4">
            <w:pPr>
              <w:keepNext/>
              <w:spacing w:after="0"/>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Effectif des ménages</w:t>
            </w:r>
          </w:p>
        </w:tc>
      </w:tr>
      <w:tr w:rsidR="00902785" w:rsidRPr="009727C1" w:rsidTr="00647EC0">
        <w:trPr>
          <w:trHeight w:val="306"/>
        </w:trPr>
        <w:tc>
          <w:tcPr>
            <w:tcW w:w="1707" w:type="pct"/>
            <w:vMerge w:val="restart"/>
            <w:tcBorders>
              <w:top w:val="nil"/>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w:t>
            </w:r>
          </w:p>
        </w:tc>
        <w:tc>
          <w:tcPr>
            <w:tcW w:w="794" w:type="pct"/>
            <w:gridSpan w:val="2"/>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Milieu de résidence</w:t>
            </w:r>
          </w:p>
        </w:tc>
        <w:tc>
          <w:tcPr>
            <w:tcW w:w="88" w:type="pct"/>
            <w:vMerge w:val="restart"/>
            <w:tcBorders>
              <w:top w:val="single" w:sz="4" w:space="0" w:color="auto"/>
              <w:bottom w:val="single" w:sz="4" w:space="0" w:color="auto"/>
              <w:right w:val="nil"/>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1198" w:type="pct"/>
            <w:gridSpan w:val="2"/>
            <w:tcBorders>
              <w:top w:val="single" w:sz="4" w:space="0" w:color="auto"/>
              <w:left w:val="nil"/>
              <w:bottom w:val="single" w:sz="4" w:space="0" w:color="auto"/>
            </w:tcBorders>
            <w:shd w:val="clear" w:color="auto" w:fill="auto"/>
            <w:vAlign w:val="center"/>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Sexe du chef de ménage</w:t>
            </w:r>
          </w:p>
        </w:tc>
        <w:tc>
          <w:tcPr>
            <w:tcW w:w="589" w:type="pct"/>
            <w:vMerge w:val="restart"/>
            <w:tcBorders>
              <w:top w:val="single" w:sz="4" w:space="0" w:color="auto"/>
            </w:tcBorders>
            <w:shd w:val="clear" w:color="auto" w:fill="auto"/>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Ensemble des ménages</w:t>
            </w:r>
          </w:p>
        </w:tc>
        <w:tc>
          <w:tcPr>
            <w:tcW w:w="624" w:type="pct"/>
            <w:vMerge/>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r>
      <w:tr w:rsidR="00902785" w:rsidRPr="009727C1" w:rsidTr="00647EC0">
        <w:trPr>
          <w:trHeight w:val="157"/>
        </w:trPr>
        <w:tc>
          <w:tcPr>
            <w:tcW w:w="1707" w:type="pct"/>
            <w:vMerge/>
            <w:tcBorders>
              <w:bottom w:val="single" w:sz="4" w:space="0" w:color="auto"/>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p>
        </w:tc>
        <w:tc>
          <w:tcPr>
            <w:tcW w:w="411"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Urbain</w:t>
            </w:r>
          </w:p>
        </w:tc>
        <w:tc>
          <w:tcPr>
            <w:tcW w:w="383"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Rural</w:t>
            </w:r>
          </w:p>
        </w:tc>
        <w:tc>
          <w:tcPr>
            <w:tcW w:w="88" w:type="pct"/>
            <w:vMerge/>
            <w:tcBorders>
              <w:top w:val="single" w:sz="4" w:space="0" w:color="auto"/>
              <w:bottom w:val="single" w:sz="4" w:space="0" w:color="auto"/>
              <w:right w:val="nil"/>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652" w:type="pct"/>
            <w:tcBorders>
              <w:top w:val="single" w:sz="4" w:space="0" w:color="auto"/>
              <w:left w:val="nil"/>
              <w:bottom w:val="single" w:sz="4" w:space="0" w:color="auto"/>
            </w:tcBorders>
            <w:shd w:val="clear" w:color="auto" w:fill="auto"/>
            <w:vAlign w:val="center"/>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Masculin</w:t>
            </w:r>
          </w:p>
        </w:tc>
        <w:tc>
          <w:tcPr>
            <w:tcW w:w="546"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Féminin</w:t>
            </w:r>
          </w:p>
        </w:tc>
        <w:tc>
          <w:tcPr>
            <w:tcW w:w="589" w:type="pct"/>
            <w:vMerge/>
            <w:tcBorders>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624" w:type="pct"/>
            <w:vMerge/>
            <w:tcBorders>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r>
      <w:tr w:rsidR="00607544" w:rsidRPr="00A271DE" w:rsidTr="00647EC0">
        <w:trPr>
          <w:trHeight w:val="300"/>
        </w:trPr>
        <w:tc>
          <w:tcPr>
            <w:tcW w:w="1707" w:type="pct"/>
            <w:tcBorders>
              <w:top w:val="single" w:sz="4" w:space="0" w:color="auto"/>
            </w:tcBorders>
            <w:shd w:val="clear" w:color="auto" w:fill="auto"/>
            <w:noWrap/>
            <w:vAlign w:val="bottom"/>
            <w:hideMark/>
          </w:tcPr>
          <w:p w:rsidR="00607544" w:rsidRPr="00A271DE" w:rsidRDefault="00607544" w:rsidP="008A14B4">
            <w:pPr>
              <w:keepNext/>
              <w:spacing w:after="0" w:line="240" w:lineRule="auto"/>
              <w:rPr>
                <w:rFonts w:ascii="Trebuchet MS" w:eastAsia="Times New Roman" w:hAnsi="Trebuchet MS"/>
                <w:b/>
                <w:color w:val="000000"/>
                <w:sz w:val="20"/>
                <w:szCs w:val="20"/>
                <w:lang w:eastAsia="fr-FR"/>
              </w:rPr>
            </w:pPr>
            <w:r w:rsidRPr="00A271DE">
              <w:rPr>
                <w:rFonts w:ascii="Trebuchet MS" w:eastAsia="Times New Roman" w:hAnsi="Trebuchet MS"/>
                <w:b/>
                <w:color w:val="000000"/>
                <w:sz w:val="20"/>
                <w:szCs w:val="20"/>
                <w:lang w:eastAsia="fr-FR"/>
              </w:rPr>
              <w:t>Type de logement</w:t>
            </w:r>
          </w:p>
        </w:tc>
        <w:tc>
          <w:tcPr>
            <w:tcW w:w="411"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383"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88" w:type="pct"/>
            <w:tcBorders>
              <w:top w:val="single" w:sz="4" w:space="0" w:color="auto"/>
              <w:right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single" w:sz="4" w:space="0" w:color="auto"/>
              <w:left w:val="nil"/>
            </w:tcBorders>
            <w:shd w:val="clear" w:color="auto" w:fill="auto"/>
            <w:vAlign w:val="bottom"/>
          </w:tcPr>
          <w:p w:rsidR="00607544" w:rsidRPr="00A271DE" w:rsidRDefault="00607544" w:rsidP="008A14B4">
            <w:pPr>
              <w:keepNext/>
              <w:jc w:val="center"/>
              <w:rPr>
                <w:rFonts w:ascii="Trebuchet MS" w:eastAsia="Times New Roman" w:hAnsi="Trebuchet MS"/>
                <w:b/>
                <w:color w:val="000000"/>
                <w:sz w:val="20"/>
                <w:szCs w:val="20"/>
                <w:lang w:eastAsia="fr-FR"/>
              </w:rPr>
            </w:pPr>
          </w:p>
        </w:tc>
        <w:tc>
          <w:tcPr>
            <w:tcW w:w="546"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589"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24"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Maison isolée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28,3</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30,1</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30,5</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24,7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29,4</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1121</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xml:space="preserve">Maison individuelle </w:t>
            </w:r>
            <w:r w:rsidR="00154DEF" w:rsidRPr="00DD0FA6">
              <w:rPr>
                <w:rFonts w:ascii="Arial Narrow" w:hAnsi="Arial Narrow" w:cs="Arial"/>
                <w:iCs/>
                <w:sz w:val="20"/>
                <w:szCs w:val="20"/>
              </w:rPr>
              <w:t>ou villa</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20,3</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16,7</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17,3</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21,7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18,2</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693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Immeuble (maison à ét</w:t>
            </w:r>
            <w:r>
              <w:rPr>
                <w:rFonts w:ascii="Trebuchet MS" w:eastAsia="Times New Roman" w:hAnsi="Trebuchet MS"/>
                <w:color w:val="000000"/>
                <w:sz w:val="20"/>
                <w:szCs w:val="20"/>
                <w:lang w:eastAsia="fr-FR"/>
              </w:rPr>
              <w:t>age)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0,2</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0,8</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Maison en bandes (com</w:t>
            </w:r>
            <w:r>
              <w:rPr>
                <w:rFonts w:ascii="Trebuchet MS" w:eastAsia="Times New Roman" w:hAnsi="Trebuchet MS"/>
                <w:color w:val="000000"/>
                <w:sz w:val="20"/>
                <w:szCs w:val="20"/>
                <w:lang w:eastAsia="fr-FR"/>
              </w:rPr>
              <w:t>partimentées)</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40,4</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31,8</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35,3</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35,5</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35,3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1348</w:t>
            </w:r>
          </w:p>
        </w:tc>
      </w:tr>
      <w:tr w:rsidR="00607544" w:rsidRPr="009727C1" w:rsidTr="00647EC0">
        <w:trPr>
          <w:trHeight w:val="300"/>
        </w:trPr>
        <w:tc>
          <w:tcPr>
            <w:tcW w:w="1707" w:type="pct"/>
            <w:tcBorders>
              <w:bottom w:val="nil"/>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Case isolée (habitat</w:t>
            </w:r>
            <w:r>
              <w:rPr>
                <w:rFonts w:ascii="Trebuchet MS" w:eastAsia="Times New Roman" w:hAnsi="Trebuchet MS"/>
                <w:color w:val="000000"/>
                <w:sz w:val="20"/>
                <w:szCs w:val="20"/>
                <w:lang w:eastAsia="fr-FR"/>
              </w:rPr>
              <w:t xml:space="preserve"> traditionnel</w:t>
            </w:r>
          </w:p>
        </w:tc>
        <w:tc>
          <w:tcPr>
            <w:tcW w:w="411"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8,1</w:t>
            </w:r>
          </w:p>
        </w:tc>
        <w:tc>
          <w:tcPr>
            <w:tcW w:w="383"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20,5</w:t>
            </w:r>
          </w:p>
        </w:tc>
        <w:tc>
          <w:tcPr>
            <w:tcW w:w="88" w:type="pct"/>
            <w:tcBorders>
              <w:bottom w:val="nil"/>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bottom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15,2</w:t>
            </w:r>
          </w:p>
        </w:tc>
        <w:tc>
          <w:tcPr>
            <w:tcW w:w="546"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16,4</w:t>
            </w:r>
          </w:p>
        </w:tc>
        <w:tc>
          <w:tcPr>
            <w:tcW w:w="589"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15,4</w:t>
            </w:r>
          </w:p>
        </w:tc>
        <w:tc>
          <w:tcPr>
            <w:tcW w:w="624"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588</w:t>
            </w:r>
          </w:p>
        </w:tc>
      </w:tr>
      <w:tr w:rsidR="00607544" w:rsidRPr="009727C1" w:rsidTr="00647EC0">
        <w:trPr>
          <w:trHeight w:val="300"/>
        </w:trPr>
        <w:tc>
          <w:tcPr>
            <w:tcW w:w="1707" w:type="pct"/>
            <w:tcBorders>
              <w:top w:val="nil"/>
              <w:bottom w:val="nil"/>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Autre  (à préciser)</w:t>
            </w:r>
          </w:p>
        </w:tc>
        <w:tc>
          <w:tcPr>
            <w:tcW w:w="411"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w:t>
            </w:r>
          </w:p>
        </w:tc>
        <w:tc>
          <w:tcPr>
            <w:tcW w:w="383"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88" w:type="pct"/>
            <w:tcBorders>
              <w:top w:val="nil"/>
              <w:bottom w:val="nil"/>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top w:val="nil"/>
              <w:left w:val="nil"/>
              <w:bottom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0,9</w:t>
            </w:r>
          </w:p>
        </w:tc>
        <w:tc>
          <w:tcPr>
            <w:tcW w:w="546"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589"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A271DE" w:rsidTr="00647EC0">
        <w:trPr>
          <w:trHeight w:val="300"/>
        </w:trPr>
        <w:tc>
          <w:tcPr>
            <w:tcW w:w="1707" w:type="pct"/>
            <w:tcBorders>
              <w:top w:val="nil"/>
            </w:tcBorders>
            <w:shd w:val="clear" w:color="auto" w:fill="auto"/>
            <w:noWrap/>
            <w:vAlign w:val="bottom"/>
            <w:hideMark/>
          </w:tcPr>
          <w:p w:rsidR="00607544" w:rsidRPr="00A271DE" w:rsidRDefault="00607544" w:rsidP="008A14B4">
            <w:pPr>
              <w:keepNext/>
              <w:spacing w:after="0" w:line="240" w:lineRule="auto"/>
              <w:rPr>
                <w:rFonts w:ascii="Trebuchet MS" w:eastAsia="Times New Roman" w:hAnsi="Trebuchet MS"/>
                <w:b/>
                <w:color w:val="000000"/>
                <w:sz w:val="20"/>
                <w:szCs w:val="20"/>
                <w:lang w:eastAsia="fr-FR"/>
              </w:rPr>
            </w:pPr>
            <w:r w:rsidRPr="00A271DE">
              <w:rPr>
                <w:rFonts w:ascii="Trebuchet MS" w:eastAsia="Times New Roman" w:hAnsi="Trebuchet MS"/>
                <w:b/>
                <w:color w:val="000000"/>
                <w:sz w:val="20"/>
                <w:szCs w:val="20"/>
                <w:lang w:eastAsia="fr-FR"/>
              </w:rPr>
              <w:t>Statut d'occupation du logement</w:t>
            </w:r>
          </w:p>
        </w:tc>
        <w:tc>
          <w:tcPr>
            <w:tcW w:w="411"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383"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88" w:type="pct"/>
            <w:tcBorders>
              <w:top w:val="nil"/>
              <w:right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nil"/>
              <w:left w:val="nil"/>
            </w:tcBorders>
            <w:shd w:val="clear" w:color="auto" w:fill="auto"/>
            <w:vAlign w:val="bottom"/>
          </w:tcPr>
          <w:p w:rsidR="00607544" w:rsidRPr="00A271DE" w:rsidRDefault="00607544" w:rsidP="008A14B4">
            <w:pPr>
              <w:keepNext/>
              <w:spacing w:after="0"/>
              <w:jc w:val="center"/>
              <w:rPr>
                <w:rFonts w:ascii="Trebuchet MS" w:eastAsia="Times New Roman" w:hAnsi="Trebuchet MS"/>
                <w:b/>
                <w:color w:val="000000"/>
                <w:sz w:val="20"/>
                <w:szCs w:val="20"/>
                <w:lang w:eastAsia="fr-FR"/>
              </w:rPr>
            </w:pPr>
          </w:p>
        </w:tc>
        <w:tc>
          <w:tcPr>
            <w:tcW w:w="546"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589"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24"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Propriétaire avec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6,4</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4,4</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4,3</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4,4</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167</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Propriétaire sans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40,5</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46,0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47,1</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29,9</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43,7</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1669</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Propriété familiale avec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5,1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3,4</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3,9</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5,1</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4,1</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156</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Propriété familiale sans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25,0</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39,0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31,0</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42,4</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33,2</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1268</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Logé par l'employeur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0,6</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23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Logé par un parent/am</w:t>
            </w:r>
            <w:r>
              <w:rPr>
                <w:rFonts w:ascii="Trebuchet MS" w:eastAsia="Times New Roman" w:hAnsi="Trebuchet MS"/>
                <w:color w:val="000000"/>
                <w:sz w:val="20"/>
                <w:szCs w:val="20"/>
                <w:lang w:eastAsia="fr-FR"/>
              </w:rPr>
              <w:t>i</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2,7</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2,3</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2,1</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2,5</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94</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Locataire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4,9</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10,0</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11,8</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10,3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394</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Autre (à préciser)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0,5</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0,2</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12</w:t>
            </w:r>
          </w:p>
        </w:tc>
      </w:tr>
      <w:tr w:rsidR="00607544" w:rsidRPr="009727C1" w:rsidTr="00647EC0">
        <w:trPr>
          <w:trHeight w:val="300"/>
        </w:trPr>
        <w:tc>
          <w:tcPr>
            <w:tcW w:w="1707"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Non déclaré</w:t>
            </w:r>
          </w:p>
        </w:tc>
        <w:tc>
          <w:tcPr>
            <w:tcW w:w="411"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1,5</w:t>
            </w:r>
          </w:p>
        </w:tc>
        <w:tc>
          <w:tcPr>
            <w:tcW w:w="383"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0,5</w:t>
            </w:r>
          </w:p>
        </w:tc>
        <w:tc>
          <w:tcPr>
            <w:tcW w:w="88" w:type="pct"/>
            <w:tcBorders>
              <w:bottom w:val="single" w:sz="4" w:space="0" w:color="auto"/>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bottom w:val="single" w:sz="4" w:space="0" w:color="auto"/>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0,9</w:t>
            </w:r>
          </w:p>
        </w:tc>
        <w:tc>
          <w:tcPr>
            <w:tcW w:w="546"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589"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9727C1" w:rsidTr="00647EC0">
        <w:trPr>
          <w:trHeight w:val="300"/>
        </w:trPr>
        <w:tc>
          <w:tcPr>
            <w:tcW w:w="1707"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Ensemble</w:t>
            </w:r>
          </w:p>
        </w:tc>
        <w:tc>
          <w:tcPr>
            <w:tcW w:w="411"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383"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88" w:type="pct"/>
            <w:tcBorders>
              <w:top w:val="single" w:sz="4" w:space="0" w:color="auto"/>
              <w:bottom w:val="double" w:sz="4" w:space="0" w:color="auto"/>
              <w:right w:val="nil"/>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single" w:sz="4" w:space="0" w:color="auto"/>
              <w:left w:val="nil"/>
              <w:bottom w:val="double" w:sz="4" w:space="0" w:color="auto"/>
            </w:tcBorders>
            <w:shd w:val="clear" w:color="auto" w:fill="auto"/>
            <w:vAlign w:val="center"/>
          </w:tcPr>
          <w:p w:rsidR="00607544" w:rsidRPr="00647EC0" w:rsidRDefault="00607544" w:rsidP="008A14B4">
            <w:pPr>
              <w:keepNext/>
              <w:spacing w:after="0"/>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546"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589"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624"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3816</w:t>
            </w:r>
          </w:p>
        </w:tc>
      </w:tr>
      <w:tr w:rsidR="00607544" w:rsidRPr="00C247B4" w:rsidTr="00647EC0">
        <w:trPr>
          <w:trHeight w:val="237"/>
        </w:trPr>
        <w:tc>
          <w:tcPr>
            <w:tcW w:w="5000" w:type="pct"/>
            <w:gridSpan w:val="8"/>
            <w:tcBorders>
              <w:top w:val="double" w:sz="4" w:space="0" w:color="auto"/>
              <w:bottom w:val="nil"/>
            </w:tcBorders>
            <w:shd w:val="clear" w:color="auto" w:fill="auto"/>
            <w:noWrap/>
            <w:vAlign w:val="bottom"/>
            <w:hideMark/>
          </w:tcPr>
          <w:p w:rsidR="00607544" w:rsidRPr="007B7220" w:rsidRDefault="00607544" w:rsidP="008A14B4">
            <w:pPr>
              <w:keepNext/>
              <w:spacing w:after="0" w:line="240" w:lineRule="auto"/>
              <w:rPr>
                <w:rFonts w:ascii="Trebuchet MS" w:eastAsia="Times New Roman" w:hAnsi="Trebuchet MS" w:cs="Arial"/>
                <w:b/>
                <w:color w:val="000000"/>
                <w:sz w:val="20"/>
                <w:szCs w:val="20"/>
                <w:lang w:eastAsia="fr-FR"/>
              </w:rPr>
            </w:pPr>
            <w:r w:rsidRPr="007B7220">
              <w:rPr>
                <w:rFonts w:ascii="Trebuchet MS" w:hAnsi="Trebuchet MS" w:cs="Arial"/>
                <w:b/>
                <w:bCs/>
                <w:color w:val="000000"/>
                <w:sz w:val="20"/>
              </w:rPr>
              <w:t>Source : ECEB, INSAE, 2015</w:t>
            </w:r>
          </w:p>
        </w:tc>
      </w:tr>
    </w:tbl>
    <w:p w:rsidR="00DB76D8" w:rsidRDefault="00DB76D8" w:rsidP="00647EC0">
      <w:pPr>
        <w:tabs>
          <w:tab w:val="left" w:pos="-1440"/>
          <w:tab w:val="left" w:pos="-720"/>
          <w:tab w:val="left" w:pos="0"/>
          <w:tab w:val="left" w:pos="720"/>
          <w:tab w:val="right" w:leader="dot" w:pos="5159"/>
        </w:tabs>
        <w:ind w:left="720" w:hanging="720"/>
        <w:jc w:val="both"/>
        <w:rPr>
          <w:rFonts w:ascii="Trebuchet MS" w:hAnsi="Trebuchet MS"/>
        </w:rPr>
      </w:pPr>
    </w:p>
    <w:p w:rsidR="00DB76D8" w:rsidRPr="00F57BAA" w:rsidRDefault="00DB76D8" w:rsidP="00F03E08">
      <w:pPr>
        <w:pStyle w:val="Titre4"/>
        <w:numPr>
          <w:ilvl w:val="2"/>
          <w:numId w:val="6"/>
        </w:numPr>
      </w:pPr>
      <w:bookmarkStart w:id="94" w:name="_Toc425961637"/>
      <w:bookmarkStart w:id="95" w:name="_Toc426359431"/>
      <w:r w:rsidRPr="00F57BAA">
        <w:t xml:space="preserve">Structure des ménages </w:t>
      </w:r>
      <w:r>
        <w:t>selon le statut d’occupation du logement</w:t>
      </w:r>
      <w:bookmarkEnd w:id="94"/>
      <w:bookmarkEnd w:id="95"/>
    </w:p>
    <w:p w:rsidR="002B5774" w:rsidRPr="0072397D" w:rsidRDefault="00E2663C" w:rsidP="002B5774">
      <w:pPr>
        <w:tabs>
          <w:tab w:val="left" w:pos="-1440"/>
        </w:tabs>
        <w:jc w:val="both"/>
        <w:rPr>
          <w:rFonts w:ascii="Trebuchet MS" w:hAnsi="Trebuchet MS"/>
          <w:bCs/>
        </w:rPr>
      </w:pPr>
      <w:r>
        <w:rPr>
          <w:rFonts w:ascii="Trebuchet MS" w:hAnsi="Trebuchet MS"/>
          <w:bCs/>
        </w:rPr>
        <w:t>En analysant le</w:t>
      </w:r>
      <w:r w:rsidR="002B5774" w:rsidRPr="0072397D">
        <w:rPr>
          <w:rFonts w:ascii="Trebuchet MS" w:hAnsi="Trebuchet MS"/>
          <w:bCs/>
        </w:rPr>
        <w:t xml:space="preserve"> statut d’occupation du logement, </w:t>
      </w:r>
      <w:r>
        <w:rPr>
          <w:rFonts w:ascii="Trebuchet MS" w:hAnsi="Trebuchet MS"/>
          <w:bCs/>
        </w:rPr>
        <w:t xml:space="preserve">il convient de noter que </w:t>
      </w:r>
      <w:r w:rsidR="002B5774" w:rsidRPr="0072397D">
        <w:rPr>
          <w:rFonts w:ascii="Trebuchet MS" w:hAnsi="Trebuchet MS"/>
          <w:bCs/>
        </w:rPr>
        <w:t xml:space="preserve">dans l’ensemble, </w:t>
      </w:r>
      <w:r w:rsidR="00BF3A79">
        <w:rPr>
          <w:rFonts w:ascii="Trebuchet MS" w:hAnsi="Trebuchet MS"/>
          <w:bCs/>
        </w:rPr>
        <w:t>la plus part des</w:t>
      </w:r>
      <w:r w:rsidR="00BF3A79" w:rsidRPr="0072397D">
        <w:rPr>
          <w:rFonts w:ascii="Trebuchet MS" w:hAnsi="Trebuchet MS"/>
          <w:bCs/>
        </w:rPr>
        <w:t xml:space="preserve"> ménages</w:t>
      </w:r>
      <w:r w:rsidR="00BF3A79">
        <w:rPr>
          <w:rFonts w:ascii="Trebuchet MS" w:hAnsi="Trebuchet MS"/>
          <w:bCs/>
        </w:rPr>
        <w:t xml:space="preserve"> sont </w:t>
      </w:r>
      <w:r w:rsidR="002B5774" w:rsidRPr="0072397D">
        <w:rPr>
          <w:rFonts w:ascii="Trebuchet MS" w:hAnsi="Trebuchet MS"/>
          <w:bCs/>
        </w:rPr>
        <w:t>propriétaires sans titre foncier de leur logement</w:t>
      </w:r>
      <w:r w:rsidR="00BF3A79">
        <w:rPr>
          <w:rFonts w:ascii="Trebuchet MS" w:hAnsi="Trebuchet MS"/>
          <w:bCs/>
        </w:rPr>
        <w:t xml:space="preserve"> (</w:t>
      </w:r>
      <w:r w:rsidR="00BF3A79" w:rsidRPr="0072397D">
        <w:rPr>
          <w:rFonts w:ascii="Trebuchet MS" w:hAnsi="Trebuchet MS"/>
          <w:bCs/>
        </w:rPr>
        <w:t>43,7%</w:t>
      </w:r>
      <w:r w:rsidR="00BF3A79">
        <w:rPr>
          <w:rFonts w:ascii="Trebuchet MS" w:hAnsi="Trebuchet MS"/>
          <w:bCs/>
        </w:rPr>
        <w:t xml:space="preserve">) et </w:t>
      </w:r>
      <w:r w:rsidR="002B5774" w:rsidRPr="0072397D">
        <w:rPr>
          <w:rFonts w:ascii="Trebuchet MS" w:hAnsi="Trebuchet MS"/>
          <w:bCs/>
        </w:rPr>
        <w:t xml:space="preserve"> des </w:t>
      </w:r>
      <w:r w:rsidR="00BF3A79">
        <w:rPr>
          <w:rFonts w:ascii="Trebuchet MS" w:hAnsi="Trebuchet MS"/>
          <w:bCs/>
        </w:rPr>
        <w:t>vivent dans</w:t>
      </w:r>
      <w:r w:rsidR="002B5774" w:rsidRPr="0072397D">
        <w:rPr>
          <w:rFonts w:ascii="Trebuchet MS" w:hAnsi="Trebuchet MS"/>
          <w:bCs/>
        </w:rPr>
        <w:t xml:space="preserve"> des propriétés de </w:t>
      </w:r>
      <w:r w:rsidR="00BF3A79" w:rsidRPr="0072397D">
        <w:rPr>
          <w:rFonts w:ascii="Trebuchet MS" w:hAnsi="Trebuchet MS"/>
          <w:bCs/>
        </w:rPr>
        <w:t>famili</w:t>
      </w:r>
      <w:r w:rsidR="00BF3A79">
        <w:rPr>
          <w:rFonts w:ascii="Trebuchet MS" w:hAnsi="Trebuchet MS"/>
          <w:bCs/>
        </w:rPr>
        <w:t>ale</w:t>
      </w:r>
      <w:r w:rsidR="002B5774" w:rsidRPr="0072397D">
        <w:rPr>
          <w:rFonts w:ascii="Trebuchet MS" w:hAnsi="Trebuchet MS"/>
          <w:bCs/>
        </w:rPr>
        <w:t xml:space="preserve"> sans titre foncier </w:t>
      </w:r>
      <w:r w:rsidR="00BF3A79">
        <w:rPr>
          <w:rFonts w:ascii="Trebuchet MS" w:hAnsi="Trebuchet MS"/>
          <w:bCs/>
        </w:rPr>
        <w:t>(</w:t>
      </w:r>
      <w:r w:rsidR="00BF3A79" w:rsidRPr="0072397D">
        <w:rPr>
          <w:rFonts w:ascii="Trebuchet MS" w:hAnsi="Trebuchet MS"/>
          <w:bCs/>
        </w:rPr>
        <w:t>33,2%</w:t>
      </w:r>
      <w:r w:rsidR="00BF3A79">
        <w:rPr>
          <w:rFonts w:ascii="Trebuchet MS" w:hAnsi="Trebuchet MS"/>
          <w:bCs/>
        </w:rPr>
        <w:t xml:space="preserve">). Seulement </w:t>
      </w:r>
      <w:r w:rsidR="002B5774" w:rsidRPr="0072397D">
        <w:rPr>
          <w:rFonts w:ascii="Trebuchet MS" w:hAnsi="Trebuchet MS"/>
          <w:bCs/>
        </w:rPr>
        <w:t>10,3% de</w:t>
      </w:r>
      <w:r w:rsidR="00BF3A79">
        <w:rPr>
          <w:rFonts w:ascii="Trebuchet MS" w:hAnsi="Trebuchet MS"/>
          <w:bCs/>
        </w:rPr>
        <w:t>s</w:t>
      </w:r>
      <w:r w:rsidR="002B5774" w:rsidRPr="0072397D">
        <w:rPr>
          <w:rFonts w:ascii="Trebuchet MS" w:hAnsi="Trebuchet MS"/>
          <w:bCs/>
        </w:rPr>
        <w:t xml:space="preserve"> ménages sont locataires de leur logement.</w:t>
      </w:r>
    </w:p>
    <w:p w:rsidR="002B5774" w:rsidRPr="0072397D" w:rsidRDefault="00D16141" w:rsidP="002B5774">
      <w:pPr>
        <w:tabs>
          <w:tab w:val="left" w:pos="-1440"/>
        </w:tabs>
        <w:jc w:val="both"/>
        <w:rPr>
          <w:rFonts w:ascii="Trebuchet MS" w:hAnsi="Trebuchet MS"/>
          <w:bCs/>
        </w:rPr>
      </w:pPr>
      <w:r>
        <w:rPr>
          <w:rFonts w:ascii="Trebuchet MS" w:hAnsi="Trebuchet MS"/>
          <w:bCs/>
        </w:rPr>
        <w:t>Par rapport au milieu de résidence, les ménages sont en gra</w:t>
      </w:r>
      <w:r w:rsidR="00647EC0">
        <w:rPr>
          <w:rFonts w:ascii="Trebuchet MS" w:hAnsi="Trebuchet MS"/>
          <w:bCs/>
        </w:rPr>
        <w:t>n</w:t>
      </w:r>
      <w:r>
        <w:rPr>
          <w:rFonts w:ascii="Trebuchet MS" w:hAnsi="Trebuchet MS"/>
          <w:bCs/>
        </w:rPr>
        <w:t xml:space="preserve">de partie </w:t>
      </w:r>
      <w:r w:rsidR="002B5774" w:rsidRPr="0072397D">
        <w:rPr>
          <w:rFonts w:ascii="Trebuchet MS" w:hAnsi="Trebuchet MS"/>
          <w:bCs/>
        </w:rPr>
        <w:t>propriétaires sans titre foncier de leur logement</w:t>
      </w:r>
      <w:r>
        <w:rPr>
          <w:rFonts w:ascii="Trebuchet MS" w:hAnsi="Trebuchet MS"/>
          <w:bCs/>
        </w:rPr>
        <w:t xml:space="preserve"> en milieu urbain (40,5%) comme en milieu rural (46,0%)</w:t>
      </w:r>
      <w:r w:rsidR="002B5774" w:rsidRPr="0072397D">
        <w:rPr>
          <w:rFonts w:ascii="Trebuchet MS" w:hAnsi="Trebuchet MS"/>
          <w:bCs/>
        </w:rPr>
        <w:t>.</w:t>
      </w:r>
      <w:r>
        <w:rPr>
          <w:rFonts w:ascii="Trebuchet MS" w:hAnsi="Trebuchet MS"/>
          <w:bCs/>
        </w:rPr>
        <w:t xml:space="preserve"> En ce qui concerne le sexe du chef de ménage, </w:t>
      </w:r>
      <w:r w:rsidR="000E3C43">
        <w:rPr>
          <w:rFonts w:ascii="Trebuchet MS" w:hAnsi="Trebuchet MS"/>
          <w:bCs/>
        </w:rPr>
        <w:t>près de la moitié de</w:t>
      </w:r>
      <w:r>
        <w:rPr>
          <w:rFonts w:ascii="Trebuchet MS" w:hAnsi="Trebuchet MS"/>
          <w:bCs/>
        </w:rPr>
        <w:t xml:space="preserve">s ménages dirigés par les hommes </w:t>
      </w:r>
      <w:r w:rsidR="000E3C43">
        <w:rPr>
          <w:rFonts w:ascii="Trebuchet MS" w:hAnsi="Trebuchet MS"/>
          <w:bCs/>
        </w:rPr>
        <w:t>(</w:t>
      </w:r>
      <w:r w:rsidR="000E3C43" w:rsidRPr="0072397D">
        <w:rPr>
          <w:rFonts w:ascii="Trebuchet MS" w:hAnsi="Trebuchet MS"/>
          <w:bCs/>
        </w:rPr>
        <w:t>4</w:t>
      </w:r>
      <w:r w:rsidR="000E3C43">
        <w:rPr>
          <w:rFonts w:ascii="Trebuchet MS" w:hAnsi="Trebuchet MS"/>
          <w:bCs/>
        </w:rPr>
        <w:t>7</w:t>
      </w:r>
      <w:r w:rsidR="000E3C43" w:rsidRPr="0072397D">
        <w:rPr>
          <w:rFonts w:ascii="Trebuchet MS" w:hAnsi="Trebuchet MS"/>
          <w:bCs/>
        </w:rPr>
        <w:t>,</w:t>
      </w:r>
      <w:r w:rsidR="000E3C43">
        <w:rPr>
          <w:rFonts w:ascii="Trebuchet MS" w:hAnsi="Trebuchet MS"/>
          <w:bCs/>
        </w:rPr>
        <w:t>1</w:t>
      </w:r>
      <w:r w:rsidR="000E3C43" w:rsidRPr="0072397D">
        <w:rPr>
          <w:rFonts w:ascii="Trebuchet MS" w:hAnsi="Trebuchet MS"/>
          <w:bCs/>
        </w:rPr>
        <w:t>%</w:t>
      </w:r>
      <w:r w:rsidR="000E3C43">
        <w:rPr>
          <w:rFonts w:ascii="Trebuchet MS" w:hAnsi="Trebuchet MS"/>
          <w:bCs/>
        </w:rPr>
        <w:t xml:space="preserve">) </w:t>
      </w:r>
      <w:r>
        <w:rPr>
          <w:rFonts w:ascii="Trebuchet MS" w:hAnsi="Trebuchet MS"/>
          <w:bCs/>
        </w:rPr>
        <w:t xml:space="preserve">sont </w:t>
      </w:r>
      <w:r w:rsidRPr="0072397D">
        <w:rPr>
          <w:rFonts w:ascii="Trebuchet MS" w:hAnsi="Trebuchet MS"/>
          <w:bCs/>
        </w:rPr>
        <w:t>propriétaires sans titre foncier de leur logement</w:t>
      </w:r>
      <w:r w:rsidR="000E3C43">
        <w:rPr>
          <w:rFonts w:ascii="Trebuchet MS" w:hAnsi="Trebuchet MS"/>
          <w:bCs/>
        </w:rPr>
        <w:t xml:space="preserve">. Par contre, </w:t>
      </w:r>
      <w:r>
        <w:rPr>
          <w:rFonts w:ascii="Trebuchet MS" w:hAnsi="Trebuchet MS"/>
          <w:bCs/>
        </w:rPr>
        <w:t xml:space="preserve"> les ménages dirigés par les femmes vivent </w:t>
      </w:r>
      <w:r w:rsidR="000E3C43">
        <w:rPr>
          <w:rFonts w:ascii="Trebuchet MS" w:hAnsi="Trebuchet MS"/>
          <w:bCs/>
        </w:rPr>
        <w:t>en grande partie (</w:t>
      </w:r>
      <w:r w:rsidR="000E3C43" w:rsidRPr="0072397D">
        <w:rPr>
          <w:rFonts w:ascii="Trebuchet MS" w:hAnsi="Trebuchet MS"/>
          <w:bCs/>
        </w:rPr>
        <w:t>4</w:t>
      </w:r>
      <w:r w:rsidR="000E3C43">
        <w:rPr>
          <w:rFonts w:ascii="Trebuchet MS" w:hAnsi="Trebuchet MS"/>
          <w:bCs/>
        </w:rPr>
        <w:t>2</w:t>
      </w:r>
      <w:r w:rsidR="000E3C43" w:rsidRPr="0072397D">
        <w:rPr>
          <w:rFonts w:ascii="Trebuchet MS" w:hAnsi="Trebuchet MS"/>
          <w:bCs/>
        </w:rPr>
        <w:t>,</w:t>
      </w:r>
      <w:r w:rsidR="000E3C43">
        <w:rPr>
          <w:rFonts w:ascii="Trebuchet MS" w:hAnsi="Trebuchet MS"/>
          <w:bCs/>
        </w:rPr>
        <w:t>4</w:t>
      </w:r>
      <w:r w:rsidR="000E3C43" w:rsidRPr="0072397D">
        <w:rPr>
          <w:rFonts w:ascii="Trebuchet MS" w:hAnsi="Trebuchet MS"/>
          <w:bCs/>
        </w:rPr>
        <w:t>%</w:t>
      </w:r>
      <w:r w:rsidR="000E3C43">
        <w:rPr>
          <w:rFonts w:ascii="Trebuchet MS" w:hAnsi="Trebuchet MS"/>
          <w:bCs/>
        </w:rPr>
        <w:t xml:space="preserve">) </w:t>
      </w:r>
      <w:r>
        <w:rPr>
          <w:rFonts w:ascii="Trebuchet MS" w:hAnsi="Trebuchet MS"/>
          <w:bCs/>
        </w:rPr>
        <w:t xml:space="preserve">dans des </w:t>
      </w:r>
      <w:r w:rsidRPr="0072397D">
        <w:rPr>
          <w:rFonts w:ascii="Trebuchet MS" w:hAnsi="Trebuchet MS"/>
          <w:bCs/>
        </w:rPr>
        <w:t>logement</w:t>
      </w:r>
      <w:r>
        <w:rPr>
          <w:rFonts w:ascii="Trebuchet MS" w:hAnsi="Trebuchet MS"/>
          <w:bCs/>
        </w:rPr>
        <w:t xml:space="preserve">s de types propriété familiale </w:t>
      </w:r>
      <w:r w:rsidR="000E3C43">
        <w:rPr>
          <w:rFonts w:ascii="Trebuchet MS" w:hAnsi="Trebuchet MS"/>
          <w:bCs/>
        </w:rPr>
        <w:t>sans titre foncier</w:t>
      </w:r>
      <w:r>
        <w:rPr>
          <w:rFonts w:ascii="Trebuchet MS" w:hAnsi="Trebuchet MS"/>
          <w:bCs/>
        </w:rPr>
        <w:t>.</w:t>
      </w:r>
    </w:p>
    <w:p w:rsidR="00C73B6C" w:rsidRPr="0072397D" w:rsidRDefault="00C73B6C" w:rsidP="00B811FE">
      <w:pPr>
        <w:tabs>
          <w:tab w:val="left" w:pos="-1440"/>
          <w:tab w:val="left" w:pos="-720"/>
          <w:tab w:val="left" w:pos="0"/>
          <w:tab w:val="left" w:pos="720"/>
          <w:tab w:val="right" w:leader="dot" w:pos="5159"/>
        </w:tabs>
        <w:ind w:left="720" w:hanging="720"/>
        <w:jc w:val="both"/>
        <w:rPr>
          <w:rFonts w:ascii="Trebuchet MS" w:hAnsi="Trebuchet MS"/>
        </w:rPr>
      </w:pPr>
    </w:p>
    <w:p w:rsidR="00902785" w:rsidRPr="00BF3A79" w:rsidRDefault="00BF3A79" w:rsidP="00F03E08">
      <w:pPr>
        <w:pStyle w:val="Titre4"/>
        <w:numPr>
          <w:ilvl w:val="2"/>
          <w:numId w:val="6"/>
        </w:numPr>
      </w:pPr>
      <w:bookmarkStart w:id="96" w:name="_Toc425961638"/>
      <w:bookmarkStart w:id="97" w:name="_Toc426359432"/>
      <w:r w:rsidRPr="00BF3A79">
        <w:t>Structure des ménages selon le nombre de pièces et les caractéristiques de logement</w:t>
      </w:r>
      <w:bookmarkEnd w:id="96"/>
      <w:bookmarkEnd w:id="97"/>
    </w:p>
    <w:p w:rsidR="007B7220" w:rsidRDefault="00E2663C" w:rsidP="00E2663C">
      <w:pPr>
        <w:tabs>
          <w:tab w:val="left" w:pos="-1440"/>
          <w:tab w:val="left" w:pos="-720"/>
          <w:tab w:val="left" w:pos="0"/>
          <w:tab w:val="left" w:pos="720"/>
          <w:tab w:val="right" w:leader="dot" w:pos="5159"/>
        </w:tabs>
        <w:spacing w:after="0"/>
        <w:jc w:val="both"/>
        <w:rPr>
          <w:rFonts w:ascii="Trebuchet MS" w:hAnsi="Trebuchet MS"/>
        </w:rPr>
      </w:pPr>
      <w:r>
        <w:rPr>
          <w:rFonts w:ascii="Trebuchet MS" w:hAnsi="Trebuchet MS"/>
        </w:rPr>
        <w:t xml:space="preserve">L’analyse des résultats du </w:t>
      </w:r>
      <w:r w:rsidR="00B811FE" w:rsidRPr="0072397D">
        <w:rPr>
          <w:rFonts w:ascii="Trebuchet MS" w:hAnsi="Trebuchet MS"/>
        </w:rPr>
        <w:t>tableau ci-</w:t>
      </w:r>
      <w:r>
        <w:rPr>
          <w:rFonts w:ascii="Trebuchet MS" w:hAnsi="Trebuchet MS"/>
        </w:rPr>
        <w:t>aprèsmontre que dans l’ensemble, une part importante de</w:t>
      </w:r>
      <w:r w:rsidR="00B811FE" w:rsidRPr="0072397D">
        <w:rPr>
          <w:rFonts w:ascii="Trebuchet MS" w:hAnsi="Trebuchet MS"/>
        </w:rPr>
        <w:t xml:space="preserve"> ménages (soit 37</w:t>
      </w:r>
      <w:r>
        <w:rPr>
          <w:rFonts w:ascii="Trebuchet MS" w:hAnsi="Trebuchet MS"/>
        </w:rPr>
        <w:t>,1</w:t>
      </w:r>
      <w:r w:rsidR="00B811FE" w:rsidRPr="0072397D">
        <w:rPr>
          <w:rFonts w:ascii="Trebuchet MS" w:hAnsi="Trebuchet MS"/>
        </w:rPr>
        <w:t xml:space="preserve">%) </w:t>
      </w:r>
      <w:r>
        <w:rPr>
          <w:rFonts w:ascii="Trebuchet MS" w:hAnsi="Trebuchet MS"/>
        </w:rPr>
        <w:t>vitdans des</w:t>
      </w:r>
      <w:r w:rsidR="00B811FE" w:rsidRPr="0072397D">
        <w:rPr>
          <w:rFonts w:ascii="Trebuchet MS" w:hAnsi="Trebuchet MS"/>
        </w:rPr>
        <w:t xml:space="preserve"> logement</w:t>
      </w:r>
      <w:r>
        <w:rPr>
          <w:rFonts w:ascii="Trebuchet MS" w:hAnsi="Trebuchet MS"/>
        </w:rPr>
        <w:t>s</w:t>
      </w:r>
      <w:r w:rsidR="00B811FE" w:rsidRPr="0072397D">
        <w:rPr>
          <w:rFonts w:ascii="Trebuchet MS" w:hAnsi="Trebuchet MS"/>
        </w:rPr>
        <w:t xml:space="preserve"> à deux pièces</w:t>
      </w:r>
      <w:r>
        <w:rPr>
          <w:rFonts w:ascii="Trebuchet MS" w:hAnsi="Trebuchet MS"/>
        </w:rPr>
        <w:t> ;2</w:t>
      </w:r>
      <w:r w:rsidR="00B811FE" w:rsidRPr="0072397D">
        <w:rPr>
          <w:rFonts w:ascii="Trebuchet MS" w:hAnsi="Trebuchet MS"/>
        </w:rPr>
        <w:t>0</w:t>
      </w:r>
      <w:r>
        <w:rPr>
          <w:rFonts w:ascii="Trebuchet MS" w:hAnsi="Trebuchet MS"/>
        </w:rPr>
        <w:t>,9</w:t>
      </w:r>
      <w:r w:rsidR="00FA43B5">
        <w:rPr>
          <w:rFonts w:ascii="Trebuchet MS" w:hAnsi="Trebuchet MS"/>
        </w:rPr>
        <w:t>%</w:t>
      </w:r>
      <w:r>
        <w:rPr>
          <w:rFonts w:ascii="Trebuchet MS" w:hAnsi="Trebuchet MS"/>
        </w:rPr>
        <w:t xml:space="preserve">des ménages </w:t>
      </w:r>
      <w:r w:rsidR="00B811FE" w:rsidRPr="0072397D">
        <w:rPr>
          <w:rFonts w:ascii="Trebuchet MS" w:hAnsi="Trebuchet MS"/>
        </w:rPr>
        <w:t xml:space="preserve">utilisent </w:t>
      </w:r>
      <w:r>
        <w:rPr>
          <w:rFonts w:ascii="Trebuchet MS" w:hAnsi="Trebuchet MS"/>
        </w:rPr>
        <w:t xml:space="preserve">des </w:t>
      </w:r>
      <w:r w:rsidR="00B811FE" w:rsidRPr="0072397D">
        <w:rPr>
          <w:rFonts w:ascii="Trebuchet MS" w:hAnsi="Trebuchet MS"/>
        </w:rPr>
        <w:t>logement</w:t>
      </w:r>
      <w:r>
        <w:rPr>
          <w:rFonts w:ascii="Trebuchet MS" w:hAnsi="Trebuchet MS"/>
        </w:rPr>
        <w:t>s</w:t>
      </w:r>
      <w:r w:rsidR="00B811FE" w:rsidRPr="0072397D">
        <w:rPr>
          <w:rFonts w:ascii="Trebuchet MS" w:hAnsi="Trebuchet MS"/>
        </w:rPr>
        <w:t xml:space="preserve"> à trois pièces et 11,6</w:t>
      </w:r>
      <w:r>
        <w:rPr>
          <w:rFonts w:ascii="Trebuchet MS" w:hAnsi="Trebuchet MS"/>
        </w:rPr>
        <w:t>%</w:t>
      </w:r>
      <w:r w:rsidR="00B811FE" w:rsidRPr="0072397D">
        <w:rPr>
          <w:rFonts w:ascii="Trebuchet MS" w:hAnsi="Trebuchet MS"/>
        </w:rPr>
        <w:t xml:space="preserve"> utilisent un logement à quatre pièces. Les proportions de ménages utilisant un logement à une pièce ou un logement à cinq pièces et plus restent relativement faibles.</w:t>
      </w:r>
    </w:p>
    <w:p w:rsidR="007B7220" w:rsidRDefault="007B7220" w:rsidP="00E2663C">
      <w:pPr>
        <w:tabs>
          <w:tab w:val="left" w:pos="-1440"/>
          <w:tab w:val="left" w:pos="-720"/>
          <w:tab w:val="left" w:pos="0"/>
          <w:tab w:val="left" w:pos="720"/>
          <w:tab w:val="right" w:leader="dot" w:pos="5159"/>
        </w:tabs>
        <w:spacing w:after="0"/>
        <w:jc w:val="both"/>
        <w:rPr>
          <w:rFonts w:ascii="Trebuchet MS" w:hAnsi="Trebuchet MS"/>
        </w:rPr>
      </w:pPr>
    </w:p>
    <w:p w:rsidR="007B7220" w:rsidRPr="007B7220" w:rsidRDefault="007B7220" w:rsidP="008A14B4">
      <w:pPr>
        <w:keepNext/>
        <w:tabs>
          <w:tab w:val="left" w:pos="-1440"/>
          <w:tab w:val="left" w:pos="-720"/>
          <w:tab w:val="left" w:pos="0"/>
          <w:tab w:val="left" w:pos="720"/>
          <w:tab w:val="right" w:leader="dot" w:pos="5159"/>
        </w:tabs>
        <w:spacing w:after="0" w:line="240" w:lineRule="auto"/>
        <w:jc w:val="both"/>
        <w:rPr>
          <w:rFonts w:ascii="Trebuchet MS" w:hAnsi="Trebuchet MS"/>
          <w:b/>
        </w:rPr>
      </w:pPr>
      <w:bookmarkStart w:id="98" w:name="_Toc425955986"/>
      <w:bookmarkStart w:id="99" w:name="_Toc426359327"/>
      <w:r w:rsidRPr="007B7220">
        <w:rPr>
          <w:rFonts w:ascii="Trebuchet MS" w:hAnsi="Trebuchet MS"/>
          <w:b/>
          <w:sz w:val="20"/>
        </w:rPr>
        <w:t xml:space="preserve">Tableau </w:t>
      </w:r>
      <w:r w:rsidR="00792500" w:rsidRPr="007B7220">
        <w:rPr>
          <w:rFonts w:ascii="Trebuchet MS" w:hAnsi="Trebuchet MS"/>
          <w:b/>
          <w:sz w:val="20"/>
        </w:rPr>
        <w:fldChar w:fldCharType="begin"/>
      </w:r>
      <w:r w:rsidRPr="007B7220">
        <w:rPr>
          <w:rFonts w:ascii="Trebuchet MS" w:hAnsi="Trebuchet MS"/>
          <w:b/>
          <w:sz w:val="20"/>
        </w:rPr>
        <w:instrText xml:space="preserve"> SEQ Tableau \* ARABIC </w:instrText>
      </w:r>
      <w:r w:rsidR="00792500" w:rsidRPr="007B7220">
        <w:rPr>
          <w:rFonts w:ascii="Trebuchet MS" w:hAnsi="Trebuchet MS"/>
          <w:b/>
          <w:sz w:val="20"/>
        </w:rPr>
        <w:fldChar w:fldCharType="separate"/>
      </w:r>
      <w:r w:rsidR="00556962">
        <w:rPr>
          <w:rFonts w:ascii="Trebuchet MS" w:hAnsi="Trebuchet MS"/>
          <w:b/>
          <w:noProof/>
          <w:sz w:val="20"/>
        </w:rPr>
        <w:t>8</w:t>
      </w:r>
      <w:r w:rsidR="00792500" w:rsidRPr="007B7220">
        <w:rPr>
          <w:rFonts w:ascii="Trebuchet MS" w:hAnsi="Trebuchet MS"/>
          <w:b/>
          <w:sz w:val="20"/>
        </w:rPr>
        <w:fldChar w:fldCharType="end"/>
      </w:r>
      <w:r w:rsidRPr="007B7220">
        <w:rPr>
          <w:rFonts w:ascii="Trebuchet MS" w:hAnsi="Trebuchet MS"/>
          <w:b/>
          <w:color w:val="000000"/>
          <w:sz w:val="20"/>
        </w:rPr>
        <w:t>: Répartition (%) des ménages selon le type de logement utilisé et le statut d’occupation, suivant le milieu de résidence et suivant le sexe du chef de ménage</w:t>
      </w:r>
      <w:bookmarkEnd w:id="98"/>
      <w:bookmarkEnd w:id="99"/>
    </w:p>
    <w:tbl>
      <w:tblPr>
        <w:tblW w:w="4387"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545"/>
        <w:gridCol w:w="991"/>
        <w:gridCol w:w="993"/>
        <w:gridCol w:w="1371"/>
        <w:gridCol w:w="1183"/>
      </w:tblGrid>
      <w:tr w:rsidR="00B811FE" w:rsidRPr="00CF086A" w:rsidTr="007B7220">
        <w:trPr>
          <w:trHeight w:val="501"/>
        </w:trPr>
        <w:tc>
          <w:tcPr>
            <w:tcW w:w="2193" w:type="pct"/>
            <w:tcBorders>
              <w:bottom w:val="nil"/>
            </w:tcBorders>
            <w:shd w:val="clear" w:color="auto" w:fill="auto"/>
            <w:noWrap/>
            <w:vAlign w:val="bottom"/>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2075" w:type="pct"/>
            <w:gridSpan w:val="3"/>
            <w:tcBorders>
              <w:top w:val="double" w:sz="4" w:space="0" w:color="auto"/>
              <w:bottom w:val="single" w:sz="4" w:space="0" w:color="auto"/>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ménage selon le nombre de pièces et les caractéristiques de logement</w:t>
            </w:r>
          </w:p>
        </w:tc>
        <w:tc>
          <w:tcPr>
            <w:tcW w:w="732" w:type="pct"/>
            <w:vMerge w:val="restart"/>
            <w:tcBorders>
              <w:bottom w:val="nil"/>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w:t>
            </w:r>
          </w:p>
        </w:tc>
      </w:tr>
      <w:tr w:rsidR="00B811FE" w:rsidRPr="00CF086A" w:rsidTr="007B7220">
        <w:trPr>
          <w:trHeight w:val="284"/>
        </w:trPr>
        <w:tc>
          <w:tcPr>
            <w:tcW w:w="2193" w:type="pct"/>
            <w:tcBorders>
              <w:top w:val="nil"/>
              <w:bottom w:val="single" w:sz="4" w:space="0" w:color="auto"/>
            </w:tcBorders>
            <w:shd w:val="clear" w:color="auto" w:fill="auto"/>
            <w:noWrap/>
            <w:vAlign w:val="bottom"/>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13" w:type="pct"/>
            <w:tcBorders>
              <w:top w:val="single" w:sz="4" w:space="0" w:color="auto"/>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614" w:type="pct"/>
            <w:tcBorders>
              <w:top w:val="single" w:sz="4" w:space="0" w:color="auto"/>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848" w:type="pct"/>
            <w:tcBorders>
              <w:top w:val="single" w:sz="4" w:space="0" w:color="auto"/>
              <w:bottom w:val="single" w:sz="4" w:space="0" w:color="auto"/>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732" w:type="pct"/>
            <w:vMerge/>
            <w:tcBorders>
              <w:top w:val="nil"/>
              <w:bottom w:val="single" w:sz="4" w:space="0" w:color="auto"/>
            </w:tcBorders>
            <w:shd w:val="clear" w:color="auto" w:fill="auto"/>
            <w:vAlign w:val="center"/>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p>
        </w:tc>
      </w:tr>
      <w:tr w:rsidR="00B811FE" w:rsidRPr="007B7220" w:rsidTr="007B7220">
        <w:trPr>
          <w:trHeight w:val="284"/>
        </w:trPr>
        <w:tc>
          <w:tcPr>
            <w:tcW w:w="2193" w:type="pct"/>
            <w:tcBorders>
              <w:top w:val="single" w:sz="4" w:space="0" w:color="auto"/>
            </w:tcBorders>
            <w:shd w:val="clear" w:color="auto" w:fill="auto"/>
            <w:noWrap/>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Nombre de pièces du logement</w:t>
            </w:r>
          </w:p>
        </w:tc>
        <w:tc>
          <w:tcPr>
            <w:tcW w:w="613"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614"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848"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732"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 pièce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9,7</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37,1</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796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443</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 pièces et plus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337</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r>
      <w:tr w:rsidR="00B811FE" w:rsidRPr="007B7220" w:rsidTr="007B7220">
        <w:trPr>
          <w:trHeight w:val="284"/>
        </w:trPr>
        <w:tc>
          <w:tcPr>
            <w:tcW w:w="2193" w:type="pct"/>
            <w:shd w:val="clear" w:color="auto" w:fill="auto"/>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Caractéristiques de logement (Sol+mur+toit)</w:t>
            </w:r>
          </w:p>
        </w:tc>
        <w:tc>
          <w:tcPr>
            <w:tcW w:w="613"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614"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848"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732"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r>
      <w:tr w:rsidR="00B811FE" w:rsidRPr="00CF086A" w:rsidTr="007B7220">
        <w:trPr>
          <w:trHeight w:val="284"/>
        </w:trPr>
        <w:tc>
          <w:tcPr>
            <w:tcW w:w="2193" w:type="pct"/>
            <w:shd w:val="clear" w:color="auto" w:fill="auto"/>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 Nature du sol + Autre nature mur+ Autre nature du toit</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Bouse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Dalle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Tuile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Dalle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52</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1195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Tuile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Palme/Bamb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Semi-dur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7,6</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Terre + Paille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13,5</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219</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leftChars="167" w:left="367" w:firstLineChars="14" w:firstLine="28"/>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Palme/Bamb</w:t>
            </w:r>
            <w:r w:rsidR="00902785">
              <w:rPr>
                <w:rFonts w:ascii="Trebuchet MS" w:eastAsia="Times New Roman" w:hAnsi="Trebuchet MS"/>
                <w:color w:val="000000"/>
                <w:sz w:val="20"/>
                <w:szCs w:val="20"/>
                <w:lang w:eastAsia="fr-FR"/>
              </w:rPr>
              <w:t>ou</w:t>
            </w:r>
            <w:r w:rsidRPr="00CF086A">
              <w:rPr>
                <w:rFonts w:ascii="Trebuchet MS" w:eastAsia="Times New Roman" w:hAnsi="Trebuchet MS"/>
                <w:color w:val="000000"/>
                <w:sz w:val="20"/>
                <w:szCs w:val="20"/>
                <w:lang w:eastAsia="fr-FR"/>
              </w:rPr>
              <w:t xml:space="preserv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Semi-dur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Paille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Terre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28,1</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826</w:t>
            </w:r>
          </w:p>
        </w:tc>
      </w:tr>
      <w:tr w:rsidR="00B811FE" w:rsidRPr="00CF086A" w:rsidTr="007B7220">
        <w:trPr>
          <w:trHeight w:val="284"/>
        </w:trPr>
        <w:tc>
          <w:tcPr>
            <w:tcW w:w="2193"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Autres type de maison</w:t>
            </w:r>
          </w:p>
        </w:tc>
        <w:tc>
          <w:tcPr>
            <w:tcW w:w="613"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614"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w:t>
            </w:r>
          </w:p>
        </w:tc>
        <w:tc>
          <w:tcPr>
            <w:tcW w:w="848"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732"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168</w:t>
            </w:r>
          </w:p>
        </w:tc>
      </w:tr>
      <w:tr w:rsidR="00B811FE" w:rsidRPr="007B7220" w:rsidTr="007B7220">
        <w:trPr>
          <w:trHeight w:val="284"/>
        </w:trPr>
        <w:tc>
          <w:tcPr>
            <w:tcW w:w="2193"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Ensemble</w:t>
            </w:r>
          </w:p>
        </w:tc>
        <w:tc>
          <w:tcPr>
            <w:tcW w:w="613"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614"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848"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732"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3816</w:t>
            </w:r>
          </w:p>
        </w:tc>
      </w:tr>
      <w:tr w:rsidR="00E2663C" w:rsidRPr="00C247B4" w:rsidTr="007B7220">
        <w:trPr>
          <w:trHeight w:val="237"/>
        </w:trPr>
        <w:tc>
          <w:tcPr>
            <w:tcW w:w="5000" w:type="pct"/>
            <w:gridSpan w:val="5"/>
            <w:tcBorders>
              <w:top w:val="double" w:sz="4" w:space="0" w:color="auto"/>
              <w:bottom w:val="nil"/>
            </w:tcBorders>
            <w:shd w:val="clear" w:color="auto" w:fill="auto"/>
            <w:noWrap/>
            <w:vAlign w:val="bottom"/>
            <w:hideMark/>
          </w:tcPr>
          <w:p w:rsidR="00E2663C" w:rsidRPr="007B7220" w:rsidRDefault="00E2663C" w:rsidP="008A14B4">
            <w:pPr>
              <w:keepNext/>
              <w:spacing w:after="0" w:line="240" w:lineRule="auto"/>
              <w:rPr>
                <w:rFonts w:ascii="Trebuchet MS" w:eastAsia="Times New Roman" w:hAnsi="Trebuchet MS" w:cs="Arial"/>
                <w:b/>
                <w:color w:val="000000"/>
                <w:sz w:val="20"/>
                <w:szCs w:val="20"/>
                <w:lang w:eastAsia="fr-FR"/>
              </w:rPr>
            </w:pPr>
            <w:r w:rsidRPr="007B7220">
              <w:rPr>
                <w:rFonts w:ascii="Trebuchet MS" w:hAnsi="Trebuchet MS" w:cs="Arial"/>
                <w:b/>
                <w:bCs/>
                <w:color w:val="000000"/>
                <w:sz w:val="20"/>
              </w:rPr>
              <w:t>Source : ECEB, INSAE, 2015</w:t>
            </w:r>
          </w:p>
        </w:tc>
      </w:tr>
    </w:tbl>
    <w:p w:rsidR="00E2663C" w:rsidRDefault="00E2663C" w:rsidP="00B811FE">
      <w:pPr>
        <w:tabs>
          <w:tab w:val="left" w:pos="-1440"/>
          <w:tab w:val="left" w:pos="-720"/>
          <w:tab w:val="left" w:pos="0"/>
          <w:tab w:val="left" w:pos="720"/>
          <w:tab w:val="right" w:leader="dot" w:pos="5159"/>
        </w:tabs>
        <w:ind w:left="720" w:hanging="720"/>
        <w:jc w:val="both"/>
        <w:rPr>
          <w:rFonts w:ascii="Trebuchet MS" w:hAnsi="Trebuchet MS"/>
        </w:rPr>
      </w:pPr>
    </w:p>
    <w:p w:rsidR="00E2663C" w:rsidRPr="0072397D" w:rsidRDefault="00E2663C" w:rsidP="00E2663C">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En</w:t>
      </w:r>
      <w:r>
        <w:rPr>
          <w:rFonts w:ascii="Trebuchet MS" w:hAnsi="Trebuchet MS"/>
        </w:rPr>
        <w:t>tre le</w:t>
      </w:r>
      <w:r w:rsidRPr="0072397D">
        <w:rPr>
          <w:rFonts w:ascii="Trebuchet MS" w:hAnsi="Trebuchet MS"/>
        </w:rPr>
        <w:t xml:space="preserve"> milieu urbain </w:t>
      </w:r>
      <w:r>
        <w:rPr>
          <w:rFonts w:ascii="Trebuchet MS" w:hAnsi="Trebuchet MS"/>
        </w:rPr>
        <w:t>et le milieu</w:t>
      </w:r>
      <w:r w:rsidRPr="0072397D">
        <w:rPr>
          <w:rFonts w:ascii="Trebuchet MS" w:hAnsi="Trebuchet MS"/>
        </w:rPr>
        <w:t xml:space="preserve"> rural, on ne note pas d’écart significatif entre les proportions de ménages utilisant </w:t>
      </w:r>
      <w:r>
        <w:rPr>
          <w:rFonts w:ascii="Trebuchet MS" w:hAnsi="Trebuchet MS"/>
        </w:rPr>
        <w:t>des</w:t>
      </w:r>
      <w:r w:rsidRPr="0072397D">
        <w:rPr>
          <w:rFonts w:ascii="Trebuchet MS" w:hAnsi="Trebuchet MS"/>
        </w:rPr>
        <w:t xml:space="preserve"> logement</w:t>
      </w:r>
      <w:r>
        <w:rPr>
          <w:rFonts w:ascii="Trebuchet MS" w:hAnsi="Trebuchet MS"/>
        </w:rPr>
        <w:t>s</w:t>
      </w:r>
      <w:r w:rsidRPr="0072397D">
        <w:rPr>
          <w:rFonts w:ascii="Trebuchet MS" w:hAnsi="Trebuchet MS"/>
        </w:rPr>
        <w:t xml:space="preserve"> à deux pièces ou à trois pièces. Ces deux types de logements restent les plus utilisés p</w:t>
      </w:r>
      <w:r>
        <w:rPr>
          <w:rFonts w:ascii="Trebuchet MS" w:hAnsi="Trebuchet MS"/>
        </w:rPr>
        <w:t>ar les ménages quel que soit le</w:t>
      </w:r>
      <w:r w:rsidRPr="0072397D">
        <w:rPr>
          <w:rFonts w:ascii="Trebuchet MS" w:hAnsi="Trebuchet MS"/>
        </w:rPr>
        <w:t xml:space="preserve"> milieu de résidence. Ainsi, 37,5% des ménages en milieu urbain contre 37% en milieu rural utilisent un logement à deux pièces et 22,</w:t>
      </w:r>
      <w:r w:rsidR="000E4C63">
        <w:rPr>
          <w:rFonts w:ascii="Trebuchet MS" w:hAnsi="Trebuchet MS"/>
        </w:rPr>
        <w:t>3% des ménages en milieu urbain</w:t>
      </w:r>
      <w:r w:rsidRPr="0072397D">
        <w:rPr>
          <w:rFonts w:ascii="Trebuchet MS" w:hAnsi="Trebuchet MS"/>
        </w:rPr>
        <w:t xml:space="preserve"> contre 20% en milieu rural utilisent un logement à trois pièces.</w:t>
      </w:r>
    </w:p>
    <w:p w:rsidR="00E2663C" w:rsidRPr="0072397D" w:rsidRDefault="00E2663C" w:rsidP="00E2663C">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 xml:space="preserve">En ce qui concerne les caractéristiques du logement, les résultats montrent que </w:t>
      </w:r>
      <w:r w:rsidR="000E4C63">
        <w:rPr>
          <w:rFonts w:ascii="Trebuchet MS" w:hAnsi="Trebuchet MS"/>
        </w:rPr>
        <w:t>trois (3) ménages sur dix (10) environ</w:t>
      </w:r>
      <w:r w:rsidRPr="0072397D">
        <w:rPr>
          <w:rFonts w:ascii="Trebuchet MS" w:hAnsi="Trebuchet MS"/>
        </w:rPr>
        <w:t xml:space="preserve"> (soit 31,3%) utilisent </w:t>
      </w:r>
      <w:r w:rsidR="000E4C63">
        <w:rPr>
          <w:rFonts w:ascii="Trebuchet MS" w:hAnsi="Trebuchet MS"/>
        </w:rPr>
        <w:t>des</w:t>
      </w:r>
      <w:r w:rsidRPr="0072397D">
        <w:rPr>
          <w:rFonts w:ascii="Trebuchet MS" w:hAnsi="Trebuchet MS"/>
        </w:rPr>
        <w:t xml:space="preserve"> logement</w:t>
      </w:r>
      <w:r w:rsidR="000E4C63">
        <w:rPr>
          <w:rFonts w:ascii="Trebuchet MS" w:hAnsi="Trebuchet MS"/>
        </w:rPr>
        <w:t>s</w:t>
      </w:r>
      <w:r w:rsidRPr="0072397D">
        <w:rPr>
          <w:rFonts w:ascii="Trebuchet MS" w:hAnsi="Trebuchet MS"/>
        </w:rPr>
        <w:t xml:space="preserve"> caractérisé</w:t>
      </w:r>
      <w:r w:rsidR="000E4C63">
        <w:rPr>
          <w:rFonts w:ascii="Trebuchet MS" w:hAnsi="Trebuchet MS"/>
        </w:rPr>
        <w:t>s</w:t>
      </w:r>
      <w:r w:rsidRPr="0072397D">
        <w:rPr>
          <w:rFonts w:ascii="Trebuchet MS" w:hAnsi="Trebuchet MS"/>
        </w:rPr>
        <w:t xml:space="preserve"> par </w:t>
      </w:r>
      <w:r w:rsidR="000E4C63">
        <w:rPr>
          <w:rFonts w:ascii="Trebuchet MS" w:hAnsi="Trebuchet MS"/>
        </w:rPr>
        <w:t>le « sol en c</w:t>
      </w:r>
      <w:r w:rsidRPr="0072397D">
        <w:rPr>
          <w:rFonts w:ascii="Trebuchet MS" w:hAnsi="Trebuchet MS"/>
        </w:rPr>
        <w:t xml:space="preserve">iment + </w:t>
      </w:r>
      <w:r w:rsidR="000E4C63">
        <w:rPr>
          <w:rFonts w:ascii="Trebuchet MS" w:hAnsi="Trebuchet MS"/>
        </w:rPr>
        <w:t>mur en b</w:t>
      </w:r>
      <w:r w:rsidRPr="0072397D">
        <w:rPr>
          <w:rFonts w:ascii="Trebuchet MS" w:hAnsi="Trebuchet MS"/>
        </w:rPr>
        <w:t xml:space="preserve">rique + </w:t>
      </w:r>
      <w:r w:rsidR="000E4C63">
        <w:rPr>
          <w:rFonts w:ascii="Trebuchet MS" w:hAnsi="Trebuchet MS"/>
        </w:rPr>
        <w:t>toit en t</w:t>
      </w:r>
      <w:r w:rsidRPr="0072397D">
        <w:rPr>
          <w:rFonts w:ascii="Trebuchet MS" w:hAnsi="Trebuchet MS"/>
        </w:rPr>
        <w:t>ôle</w:t>
      </w:r>
      <w:r w:rsidR="000E4C63">
        <w:rPr>
          <w:rFonts w:ascii="Trebuchet MS" w:hAnsi="Trebuchet MS"/>
        </w:rPr>
        <w:t> »</w:t>
      </w:r>
      <w:r w:rsidRPr="0072397D">
        <w:rPr>
          <w:rFonts w:ascii="Trebuchet MS" w:hAnsi="Trebuchet MS"/>
        </w:rPr>
        <w:t xml:space="preserve"> dans l’ensemble. </w:t>
      </w:r>
      <w:r w:rsidR="000E4C63">
        <w:rPr>
          <w:rFonts w:ascii="Trebuchet MS" w:hAnsi="Trebuchet MS"/>
        </w:rPr>
        <w:t xml:space="preserve">La part des ménages utilisant ce type de logement est estimée à </w:t>
      </w:r>
      <w:r w:rsidRPr="0072397D">
        <w:rPr>
          <w:rFonts w:ascii="Trebuchet MS" w:hAnsi="Trebuchet MS"/>
        </w:rPr>
        <w:t>40,4% en milieu urbain à 25% en milieu rural</w:t>
      </w:r>
      <w:r w:rsidR="000E4C63">
        <w:rPr>
          <w:rFonts w:ascii="Trebuchet MS" w:hAnsi="Trebuchet MS"/>
        </w:rPr>
        <w:t>.</w:t>
      </w:r>
      <w:r w:rsidRPr="0072397D">
        <w:rPr>
          <w:rFonts w:ascii="Trebuchet MS" w:hAnsi="Trebuchet MS"/>
        </w:rPr>
        <w:t xml:space="preserve"> En outre, </w:t>
      </w:r>
      <w:r w:rsidR="000E4C63">
        <w:rPr>
          <w:rFonts w:ascii="Trebuchet MS" w:hAnsi="Trebuchet MS"/>
        </w:rPr>
        <w:t>les logements caractérisés par « sol en T</w:t>
      </w:r>
      <w:r w:rsidR="000E4C63" w:rsidRPr="0072397D">
        <w:rPr>
          <w:rFonts w:ascii="Trebuchet MS" w:hAnsi="Trebuchet MS"/>
        </w:rPr>
        <w:t>erre/sabl</w:t>
      </w:r>
      <w:r w:rsidR="000E4C63">
        <w:rPr>
          <w:rFonts w:ascii="Trebuchet MS" w:hAnsi="Trebuchet MS"/>
        </w:rPr>
        <w:t>e</w:t>
      </w:r>
      <w:r w:rsidR="000E4C63" w:rsidRPr="0072397D">
        <w:rPr>
          <w:rFonts w:ascii="Trebuchet MS" w:hAnsi="Trebuchet MS"/>
        </w:rPr>
        <w:t xml:space="preserve"> +</w:t>
      </w:r>
      <w:r w:rsidR="000E4C63">
        <w:rPr>
          <w:rFonts w:ascii="Trebuchet MS" w:hAnsi="Trebuchet MS"/>
        </w:rPr>
        <w:t xml:space="preserve"> mur en </w:t>
      </w:r>
      <w:r w:rsidR="000E4C63" w:rsidRPr="0072397D">
        <w:rPr>
          <w:rFonts w:ascii="Trebuchet MS" w:hAnsi="Trebuchet MS"/>
        </w:rPr>
        <w:t xml:space="preserve">Terre + </w:t>
      </w:r>
      <w:r w:rsidR="000E4C63">
        <w:rPr>
          <w:rFonts w:ascii="Trebuchet MS" w:hAnsi="Trebuchet MS"/>
        </w:rPr>
        <w:t xml:space="preserve">toit en </w:t>
      </w:r>
      <w:r w:rsidR="000E4C63" w:rsidRPr="0072397D">
        <w:rPr>
          <w:rFonts w:ascii="Trebuchet MS" w:hAnsi="Trebuchet MS"/>
        </w:rPr>
        <w:t>Tôle</w:t>
      </w:r>
      <w:r w:rsidR="000E4C63">
        <w:rPr>
          <w:rFonts w:ascii="Trebuchet MS" w:hAnsi="Trebuchet MS"/>
        </w:rPr>
        <w:t> »</w:t>
      </w:r>
      <w:r w:rsidR="00FA43B5">
        <w:rPr>
          <w:rFonts w:ascii="Trebuchet MS" w:hAnsi="Trebuchet MS"/>
        </w:rPr>
        <w:t xml:space="preserve">viennent en seconde place avec </w:t>
      </w:r>
      <w:r w:rsidRPr="0072397D">
        <w:rPr>
          <w:rFonts w:ascii="Trebuchet MS" w:hAnsi="Trebuchet MS"/>
        </w:rPr>
        <w:t xml:space="preserve">21,7% des ménages </w:t>
      </w:r>
      <w:r w:rsidR="00FA43B5">
        <w:rPr>
          <w:rFonts w:ascii="Trebuchet MS" w:hAnsi="Trebuchet MS"/>
        </w:rPr>
        <w:t xml:space="preserve">qui les utilisent. La part des ménages est </w:t>
      </w:r>
      <w:r w:rsidR="00FA43B5" w:rsidRPr="0072397D">
        <w:rPr>
          <w:rFonts w:ascii="Trebuchet MS" w:hAnsi="Trebuchet MS"/>
        </w:rPr>
        <w:t xml:space="preserve">plus élevée </w:t>
      </w:r>
      <w:r w:rsidRPr="0072397D">
        <w:rPr>
          <w:rFonts w:ascii="Trebuchet MS" w:hAnsi="Trebuchet MS"/>
        </w:rPr>
        <w:t xml:space="preserve">en milieu rural </w:t>
      </w:r>
      <w:r w:rsidR="00FA43B5">
        <w:rPr>
          <w:rFonts w:ascii="Trebuchet MS" w:hAnsi="Trebuchet MS"/>
        </w:rPr>
        <w:t xml:space="preserve">comparativement au milieu urbain </w:t>
      </w:r>
      <w:r w:rsidRPr="0072397D">
        <w:rPr>
          <w:rFonts w:ascii="Trebuchet MS" w:hAnsi="Trebuchet MS"/>
        </w:rPr>
        <w:t>(28</w:t>
      </w:r>
      <w:r w:rsidR="00FA43B5">
        <w:rPr>
          <w:rFonts w:ascii="Trebuchet MS" w:hAnsi="Trebuchet MS"/>
        </w:rPr>
        <w:t>,1</w:t>
      </w:r>
      <w:r w:rsidRPr="0072397D">
        <w:rPr>
          <w:rFonts w:ascii="Trebuchet MS" w:hAnsi="Trebuchet MS"/>
        </w:rPr>
        <w:t xml:space="preserve">% en milieu rural contre 12,5% en milieu urbain). </w:t>
      </w:r>
    </w:p>
    <w:p w:rsidR="00E2663C" w:rsidRDefault="00E2663C" w:rsidP="00FA43B5">
      <w:pPr>
        <w:tabs>
          <w:tab w:val="left" w:pos="-1440"/>
          <w:tab w:val="left" w:pos="-720"/>
          <w:tab w:val="left" w:pos="0"/>
          <w:tab w:val="left" w:pos="720"/>
          <w:tab w:val="right" w:leader="dot" w:pos="5159"/>
        </w:tabs>
        <w:spacing w:after="0"/>
        <w:ind w:left="720" w:hanging="720"/>
        <w:jc w:val="both"/>
        <w:rPr>
          <w:rFonts w:ascii="Trebuchet MS" w:hAnsi="Trebuchet MS"/>
        </w:rPr>
      </w:pPr>
    </w:p>
    <w:p w:rsidR="00FA43B5" w:rsidRPr="00FA43B5" w:rsidRDefault="00FA43B5" w:rsidP="00F03E08">
      <w:pPr>
        <w:pStyle w:val="Titre4"/>
        <w:numPr>
          <w:ilvl w:val="2"/>
          <w:numId w:val="6"/>
        </w:numPr>
      </w:pPr>
      <w:bookmarkStart w:id="100" w:name="_Toc425961639"/>
      <w:bookmarkStart w:id="101" w:name="_Toc426359433"/>
      <w:r w:rsidRPr="00FA43B5">
        <w:t>N</w:t>
      </w:r>
      <w:r w:rsidR="00B811FE" w:rsidRPr="00FA43B5">
        <w:t xml:space="preserve">ombre moyen de pièces dans le logement </w:t>
      </w:r>
      <w:r>
        <w:t xml:space="preserve">et </w:t>
      </w:r>
      <w:r w:rsidRPr="00FA43B5">
        <w:t xml:space="preserve">moyen de pièces </w:t>
      </w:r>
      <w:r>
        <w:t>utilisé pour dormir</w:t>
      </w:r>
      <w:bookmarkEnd w:id="100"/>
      <w:bookmarkEnd w:id="101"/>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 xml:space="preserve">L’analyse des résultats </w:t>
      </w:r>
      <w:r w:rsidR="00B00C92">
        <w:rPr>
          <w:rFonts w:ascii="Trebuchet MS" w:hAnsi="Trebuchet MS"/>
        </w:rPr>
        <w:t xml:space="preserve">du tableau ci-après </w:t>
      </w:r>
      <w:r w:rsidRPr="0072397D">
        <w:rPr>
          <w:rFonts w:ascii="Trebuchet MS" w:hAnsi="Trebuchet MS"/>
        </w:rPr>
        <w:t>montre que dans l’ensemble, les ménages utilisent des logements comportant en moyenne 3,4 pièces et utilisent généralement 2,6 pièces en moyenne pour dormir.</w:t>
      </w:r>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Pour ce qui est du type de logement utilisé, on remarque que c’est dans le type « immeuble (maison à étage) » que la moyenne en terme de nombre de pièces dans le logement est la plus élevée (soit 6,1). Les types de logement « maison isolée », « maison individuelle ou villa » et « maison en bandes (compartiment</w:t>
      </w:r>
      <w:r w:rsidR="00B00C92">
        <w:rPr>
          <w:rFonts w:ascii="Trebuchet MS" w:hAnsi="Trebuchet MS"/>
        </w:rPr>
        <w:t xml:space="preserve">ée) » comportent respectivement </w:t>
      </w:r>
      <w:r w:rsidRPr="0072397D">
        <w:rPr>
          <w:rFonts w:ascii="Trebuchet MS" w:hAnsi="Trebuchet MS"/>
        </w:rPr>
        <w:t>en moyenne 3,6</w:t>
      </w:r>
      <w:r w:rsidR="00B00C92">
        <w:rPr>
          <w:rFonts w:ascii="Trebuchet MS" w:hAnsi="Trebuchet MS"/>
        </w:rPr>
        <w:t xml:space="preserve"> ; </w:t>
      </w:r>
      <w:r w:rsidRPr="0072397D">
        <w:rPr>
          <w:rFonts w:ascii="Trebuchet MS" w:hAnsi="Trebuchet MS"/>
        </w:rPr>
        <w:t xml:space="preserve">3,8 et 3,4 pièces. Les cases isolées (habitations traditionnelle) comportent en moyenne 2,6 pièces. On note également que le nombre moyen de pièces utilisées pour dormir est strictement inférieur à 3 </w:t>
      </w:r>
      <w:r w:rsidR="00B00C92">
        <w:rPr>
          <w:rFonts w:ascii="Trebuchet MS" w:hAnsi="Trebuchet MS"/>
        </w:rPr>
        <w:t xml:space="preserve">pour </w:t>
      </w:r>
      <w:r w:rsidRPr="0072397D">
        <w:rPr>
          <w:rFonts w:ascii="Trebuchet MS" w:hAnsi="Trebuchet MS"/>
        </w:rPr>
        <w:t>tous les types de logement sauf dans les immeubles où ce nombre est le plus élevé (soit 3,4).</w:t>
      </w:r>
    </w:p>
    <w:p w:rsidR="00B811FE" w:rsidRPr="0072397D" w:rsidRDefault="00B00C92" w:rsidP="00B811FE">
      <w:pPr>
        <w:tabs>
          <w:tab w:val="left" w:pos="-1440"/>
          <w:tab w:val="left" w:pos="-720"/>
          <w:tab w:val="left" w:pos="0"/>
          <w:tab w:val="left" w:pos="720"/>
          <w:tab w:val="right" w:leader="dot" w:pos="5159"/>
        </w:tabs>
        <w:jc w:val="both"/>
        <w:rPr>
          <w:rFonts w:ascii="Trebuchet MS" w:hAnsi="Trebuchet MS"/>
        </w:rPr>
      </w:pPr>
      <w:r>
        <w:rPr>
          <w:rFonts w:ascii="Trebuchet MS" w:hAnsi="Trebuchet MS"/>
        </w:rPr>
        <w:t xml:space="preserve">L’analyse selon le milieu de résidence révèle que </w:t>
      </w:r>
      <w:r w:rsidR="00B811FE" w:rsidRPr="0072397D">
        <w:rPr>
          <w:rFonts w:ascii="Trebuchet MS" w:hAnsi="Trebuchet MS"/>
        </w:rPr>
        <w:t xml:space="preserve">quel que soit le milieu, les ménages habitent dans des logements comportant quasiment le même nombre de pièces en moyenne (soit 3,4 pour le milieu urbain et </w:t>
      </w:r>
      <w:r w:rsidRPr="0072397D">
        <w:rPr>
          <w:rFonts w:ascii="Trebuchet MS" w:hAnsi="Trebuchet MS"/>
        </w:rPr>
        <w:t xml:space="preserve">3,5 </w:t>
      </w:r>
      <w:r w:rsidR="00B811FE" w:rsidRPr="0072397D">
        <w:rPr>
          <w:rFonts w:ascii="Trebuchet MS" w:hAnsi="Trebuchet MS"/>
        </w:rPr>
        <w:t>pour le milieu rural). Le nombre moyen de pièces utilisés pour dormir est aussi presque le même quel que soit le milieu de résidence (soit 2,5 pour le milieu urbain et 2,7 pour le milieu rural).</w:t>
      </w:r>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En ce qui concerne les départements de résidence, on remarque que presque dans tous les départements, les logements utilisés par les ménages comportent au moins trois pièces en mo</w:t>
      </w:r>
      <w:r w:rsidR="00B00C92">
        <w:rPr>
          <w:rFonts w:ascii="Trebuchet MS" w:hAnsi="Trebuchet MS"/>
        </w:rPr>
        <w:t xml:space="preserve">yenne hormis les départements </w:t>
      </w:r>
      <w:r w:rsidRPr="0072397D">
        <w:rPr>
          <w:rFonts w:ascii="Trebuchet MS" w:hAnsi="Trebuchet MS"/>
        </w:rPr>
        <w:t>des Collines</w:t>
      </w:r>
      <w:r w:rsidR="00B00C92">
        <w:rPr>
          <w:rFonts w:ascii="Trebuchet MS" w:hAnsi="Trebuchet MS"/>
        </w:rPr>
        <w:t xml:space="preserve"> et du </w:t>
      </w:r>
      <w:r w:rsidR="003708FD">
        <w:rPr>
          <w:rFonts w:ascii="Trebuchet MS" w:hAnsi="Trebuchet MS"/>
        </w:rPr>
        <w:t xml:space="preserve">Zou </w:t>
      </w:r>
      <w:r w:rsidR="003708FD" w:rsidRPr="0072397D">
        <w:rPr>
          <w:rFonts w:ascii="Trebuchet MS" w:hAnsi="Trebuchet MS"/>
        </w:rPr>
        <w:t>(2,7 et 2,6respectivement)</w:t>
      </w:r>
      <w:r w:rsidRPr="0072397D">
        <w:rPr>
          <w:rFonts w:ascii="Trebuchet MS" w:hAnsi="Trebuchet MS"/>
        </w:rPr>
        <w:t xml:space="preserve">. Dans la Donga et dans le </w:t>
      </w:r>
      <w:r w:rsidR="003708FD">
        <w:rPr>
          <w:rFonts w:ascii="Trebuchet MS" w:hAnsi="Trebuchet MS"/>
        </w:rPr>
        <w:t>Pl</w:t>
      </w:r>
      <w:r w:rsidRPr="0072397D">
        <w:rPr>
          <w:rFonts w:ascii="Trebuchet MS" w:hAnsi="Trebuchet MS"/>
        </w:rPr>
        <w:t>ateau logements utilisés par les ménages comportent les nombres moyens de pièces les plus élevés (soit 5,5 et 4,8 respectivement).</w:t>
      </w:r>
      <w:r w:rsidR="003708FD">
        <w:rPr>
          <w:rFonts w:ascii="Trebuchet MS" w:hAnsi="Trebuchet MS"/>
        </w:rPr>
        <w:t xml:space="preserve"> Par ailleurs dans tous les départements, les ménages utilisent en moyenne au moins deux pièces pour dormir.</w:t>
      </w:r>
    </w:p>
    <w:p w:rsidR="003708FD" w:rsidRDefault="003708FD"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Default="00D938E5"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Default="00D938E5"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Pr="003107C9" w:rsidRDefault="003107C9" w:rsidP="00F4301B">
      <w:pPr>
        <w:keepNext/>
        <w:tabs>
          <w:tab w:val="left" w:pos="-1440"/>
          <w:tab w:val="left" w:pos="-720"/>
          <w:tab w:val="left" w:pos="0"/>
          <w:tab w:val="right" w:leader="dot" w:pos="5159"/>
        </w:tabs>
        <w:spacing w:after="0" w:line="240" w:lineRule="auto"/>
        <w:jc w:val="both"/>
        <w:rPr>
          <w:rFonts w:ascii="Trebuchet MS" w:hAnsi="Trebuchet MS"/>
          <w:b/>
        </w:rPr>
      </w:pPr>
      <w:bookmarkStart w:id="102" w:name="_Toc425955987"/>
      <w:bookmarkStart w:id="103" w:name="_Toc426359328"/>
      <w:r w:rsidRPr="003107C9">
        <w:rPr>
          <w:rFonts w:ascii="Trebuchet MS" w:hAnsi="Trebuchet MS"/>
          <w:b/>
          <w:sz w:val="20"/>
        </w:rPr>
        <w:t xml:space="preserve">Tableau </w:t>
      </w:r>
      <w:r w:rsidR="00792500" w:rsidRPr="003107C9">
        <w:rPr>
          <w:rFonts w:ascii="Trebuchet MS" w:hAnsi="Trebuchet MS"/>
          <w:b/>
          <w:sz w:val="20"/>
        </w:rPr>
        <w:fldChar w:fldCharType="begin"/>
      </w:r>
      <w:r w:rsidRPr="003107C9">
        <w:rPr>
          <w:rFonts w:ascii="Trebuchet MS" w:hAnsi="Trebuchet MS"/>
          <w:b/>
          <w:sz w:val="20"/>
        </w:rPr>
        <w:instrText xml:space="preserve"> SEQ Tableau \* ARABIC </w:instrText>
      </w:r>
      <w:r w:rsidR="00792500" w:rsidRPr="003107C9">
        <w:rPr>
          <w:rFonts w:ascii="Trebuchet MS" w:hAnsi="Trebuchet MS"/>
          <w:b/>
          <w:sz w:val="20"/>
        </w:rPr>
        <w:fldChar w:fldCharType="separate"/>
      </w:r>
      <w:r w:rsidR="00556962">
        <w:rPr>
          <w:rFonts w:ascii="Trebuchet MS" w:hAnsi="Trebuchet MS"/>
          <w:b/>
          <w:noProof/>
          <w:sz w:val="20"/>
        </w:rPr>
        <w:t>9</w:t>
      </w:r>
      <w:r w:rsidR="00792500" w:rsidRPr="003107C9">
        <w:rPr>
          <w:rFonts w:ascii="Trebuchet MS" w:hAnsi="Trebuchet MS"/>
          <w:b/>
          <w:sz w:val="20"/>
        </w:rPr>
        <w:fldChar w:fldCharType="end"/>
      </w:r>
      <w:r w:rsidRPr="003107C9">
        <w:rPr>
          <w:rFonts w:ascii="Trebuchet MS" w:hAnsi="Trebuchet MS"/>
          <w:b/>
          <w:color w:val="000000"/>
          <w:sz w:val="20"/>
        </w:rPr>
        <w:t>: Nombre moyen de pièces que comporte le logement et nombre moyen de pièces utilisées pour dormir selon le type de logement, le milieu de résidence et le département</w:t>
      </w:r>
      <w:bookmarkEnd w:id="102"/>
      <w:bookmarkEnd w:id="103"/>
    </w:p>
    <w:tbl>
      <w:tblPr>
        <w:tblW w:w="4532"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539"/>
        <w:gridCol w:w="1982"/>
        <w:gridCol w:w="1698"/>
        <w:gridCol w:w="1131"/>
      </w:tblGrid>
      <w:tr w:rsidR="00B811FE" w:rsidRPr="00CF086A" w:rsidTr="00F4301B">
        <w:trPr>
          <w:trHeight w:val="673"/>
        </w:trPr>
        <w:tc>
          <w:tcPr>
            <w:tcW w:w="2119" w:type="pct"/>
            <w:tcBorders>
              <w:top w:val="double" w:sz="4" w:space="0" w:color="auto"/>
              <w:bottom w:val="single" w:sz="4" w:space="0" w:color="auto"/>
            </w:tcBorders>
            <w:shd w:val="clear" w:color="auto" w:fill="auto"/>
            <w:noWrap/>
            <w:vAlign w:val="bottom"/>
            <w:hideMark/>
          </w:tcPr>
          <w:p w:rsidR="00B811FE" w:rsidRPr="00CF086A" w:rsidRDefault="00B811FE" w:rsidP="00F4301B">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p w:rsidR="00B811FE" w:rsidRPr="00CF086A" w:rsidRDefault="00B811FE" w:rsidP="00F4301B">
            <w:pPr>
              <w:keepNext/>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118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que comporte le logement</w:t>
            </w:r>
          </w:p>
        </w:tc>
        <w:tc>
          <w:tcPr>
            <w:tcW w:w="101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utilisées pour dormir</w:t>
            </w:r>
          </w:p>
        </w:tc>
        <w:tc>
          <w:tcPr>
            <w:tcW w:w="67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w:t>
            </w:r>
          </w:p>
        </w:tc>
      </w:tr>
      <w:tr w:rsidR="00B811FE" w:rsidRPr="00CF086A" w:rsidTr="00F4301B">
        <w:trPr>
          <w:trHeight w:val="240"/>
        </w:trPr>
        <w:tc>
          <w:tcPr>
            <w:tcW w:w="2119" w:type="pct"/>
            <w:tcBorders>
              <w:top w:val="single" w:sz="4" w:space="0" w:color="auto"/>
            </w:tcBorders>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Type de logement</w:t>
            </w:r>
          </w:p>
        </w:tc>
        <w:tc>
          <w:tcPr>
            <w:tcW w:w="118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isolée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1121</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individuelle o</w:t>
            </w:r>
            <w:r w:rsidR="00287893">
              <w:rPr>
                <w:rFonts w:ascii="Trebuchet MS" w:eastAsia="Times New Roman" w:hAnsi="Trebuchet MS"/>
                <w:color w:val="000000"/>
                <w:sz w:val="20"/>
                <w:szCs w:val="20"/>
                <w:lang w:eastAsia="fr-FR"/>
              </w:rPr>
              <w:t>u villa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693</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Immeuble (maison à étag</w:t>
            </w:r>
            <w:r w:rsidR="00F845D1">
              <w:rPr>
                <w:rFonts w:ascii="Trebuchet MS" w:eastAsia="Times New Roman" w:hAnsi="Trebuchet MS"/>
                <w:color w:val="000000"/>
                <w:sz w:val="20"/>
                <w:szCs w:val="20"/>
                <w:lang w:eastAsia="fr-FR"/>
              </w:rPr>
              <w:t>e</w:t>
            </w:r>
            <w:r w:rsidR="00287893">
              <w:rPr>
                <w:rFonts w:ascii="Trebuchet MS" w:eastAsia="Times New Roman" w:hAnsi="Trebuchet MS"/>
                <w:color w:val="000000"/>
                <w:sz w:val="20"/>
                <w:szCs w:val="20"/>
                <w:lang w:eastAsia="fr-FR"/>
              </w:rPr>
              <w:t>)</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left="371"/>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en bandes (com</w:t>
            </w:r>
            <w:r w:rsidR="00287893">
              <w:rPr>
                <w:rFonts w:ascii="Trebuchet MS" w:eastAsia="Times New Roman" w:hAnsi="Trebuchet MS"/>
                <w:color w:val="000000"/>
                <w:sz w:val="20"/>
                <w:szCs w:val="20"/>
                <w:lang w:eastAsia="fr-FR"/>
              </w:rPr>
              <w:t>partimentée)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1348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left="371"/>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Case isolée (habitat</w:t>
            </w:r>
            <w:r w:rsidR="00287893">
              <w:rPr>
                <w:rFonts w:ascii="Trebuchet MS" w:eastAsia="Times New Roman" w:hAnsi="Trebuchet MS"/>
                <w:color w:val="000000"/>
                <w:sz w:val="20"/>
                <w:szCs w:val="20"/>
                <w:lang w:eastAsia="fr-FR"/>
              </w:rPr>
              <w:t xml:space="preserve"> rudimentaire)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xml:space="preserve">Autre </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r>
      <w:tr w:rsidR="00B811FE" w:rsidRPr="00CF086A" w:rsidTr="00F4301B">
        <w:trPr>
          <w:trHeight w:val="240"/>
        </w:trPr>
        <w:tc>
          <w:tcPr>
            <w:tcW w:w="2119" w:type="pct"/>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Milieu de résidence</w:t>
            </w:r>
          </w:p>
        </w:tc>
        <w:tc>
          <w:tcPr>
            <w:tcW w:w="118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1577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2239</w:t>
            </w:r>
          </w:p>
        </w:tc>
      </w:tr>
      <w:tr w:rsidR="00B811FE" w:rsidRPr="00F4301B" w:rsidTr="00F4301B">
        <w:trPr>
          <w:trHeight w:val="240"/>
        </w:trPr>
        <w:tc>
          <w:tcPr>
            <w:tcW w:w="2119" w:type="pct"/>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Département de résidence</w:t>
            </w:r>
          </w:p>
        </w:tc>
        <w:tc>
          <w:tcPr>
            <w:tcW w:w="118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ALIBORI</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ATACORA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ATLANTIQUE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316</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BORGOU</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COLLINES</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COUFFO</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215</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DONGA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LITTORAL</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MONO</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OUEME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PLATEAU</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B811FE" w:rsidRPr="00CF086A" w:rsidTr="00F4301B">
        <w:trPr>
          <w:trHeight w:val="240"/>
        </w:trPr>
        <w:tc>
          <w:tcPr>
            <w:tcW w:w="2119"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ZOU</w:t>
            </w:r>
          </w:p>
        </w:tc>
        <w:tc>
          <w:tcPr>
            <w:tcW w:w="118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101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454</w:t>
            </w:r>
          </w:p>
        </w:tc>
      </w:tr>
      <w:tr w:rsidR="00B811FE" w:rsidRPr="00CF086A" w:rsidTr="00F4301B">
        <w:trPr>
          <w:trHeight w:val="240"/>
        </w:trPr>
        <w:tc>
          <w:tcPr>
            <w:tcW w:w="2119"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Ensemble</w:t>
            </w:r>
          </w:p>
        </w:tc>
        <w:tc>
          <w:tcPr>
            <w:tcW w:w="118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3,4</w:t>
            </w:r>
          </w:p>
        </w:tc>
        <w:tc>
          <w:tcPr>
            <w:tcW w:w="101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2,6</w:t>
            </w:r>
          </w:p>
        </w:tc>
        <w:tc>
          <w:tcPr>
            <w:tcW w:w="67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3816</w:t>
            </w:r>
          </w:p>
        </w:tc>
      </w:tr>
      <w:tr w:rsidR="003708FD" w:rsidRPr="00C247B4" w:rsidTr="00F4301B">
        <w:trPr>
          <w:trHeight w:val="190"/>
        </w:trPr>
        <w:tc>
          <w:tcPr>
            <w:tcW w:w="5000" w:type="pct"/>
            <w:gridSpan w:val="4"/>
            <w:tcBorders>
              <w:top w:val="double" w:sz="4" w:space="0" w:color="auto"/>
              <w:bottom w:val="nil"/>
            </w:tcBorders>
            <w:shd w:val="clear" w:color="auto" w:fill="auto"/>
            <w:noWrap/>
            <w:vAlign w:val="bottom"/>
            <w:hideMark/>
          </w:tcPr>
          <w:p w:rsidR="003708FD" w:rsidRPr="00F4301B" w:rsidRDefault="003708FD" w:rsidP="00F4301B">
            <w:pPr>
              <w:keepNext/>
              <w:spacing w:after="0" w:line="240" w:lineRule="auto"/>
              <w:rPr>
                <w:rFonts w:ascii="Trebuchet MS" w:eastAsia="Times New Roman" w:hAnsi="Trebuchet MS" w:cs="Arial"/>
                <w:b/>
                <w:color w:val="000000"/>
                <w:sz w:val="20"/>
                <w:szCs w:val="20"/>
                <w:lang w:eastAsia="fr-FR"/>
              </w:rPr>
            </w:pPr>
            <w:r w:rsidRPr="00F4301B">
              <w:rPr>
                <w:rFonts w:ascii="Trebuchet MS" w:hAnsi="Trebuchet MS" w:cs="Arial"/>
                <w:b/>
                <w:bCs/>
                <w:color w:val="000000"/>
                <w:sz w:val="20"/>
              </w:rPr>
              <w:t>Source : ECEB, INSAE, 2015</w:t>
            </w:r>
          </w:p>
        </w:tc>
      </w:tr>
    </w:tbl>
    <w:p w:rsidR="00B811FE" w:rsidRPr="0072397D" w:rsidRDefault="00B811FE" w:rsidP="00DA77DE">
      <w:pPr>
        <w:tabs>
          <w:tab w:val="left" w:pos="-1440"/>
          <w:tab w:val="left" w:pos="-720"/>
          <w:tab w:val="left" w:pos="0"/>
          <w:tab w:val="left" w:pos="720"/>
          <w:tab w:val="right" w:leader="dot" w:pos="5159"/>
        </w:tabs>
        <w:jc w:val="both"/>
        <w:rPr>
          <w:rFonts w:ascii="Trebuchet MS" w:hAnsi="Trebuchet MS"/>
        </w:rPr>
      </w:pPr>
    </w:p>
    <w:p w:rsidR="003708FD" w:rsidRPr="003708FD" w:rsidRDefault="003708FD" w:rsidP="00F03E08">
      <w:pPr>
        <w:pStyle w:val="Titre4"/>
        <w:numPr>
          <w:ilvl w:val="2"/>
          <w:numId w:val="6"/>
        </w:numPr>
      </w:pPr>
      <w:bookmarkStart w:id="104" w:name="_Toc425961640"/>
      <w:bookmarkStart w:id="105" w:name="_Toc426359434"/>
      <w:r w:rsidRPr="003708FD">
        <w:t xml:space="preserve">Loyer mensuel moyen payé par les </w:t>
      </w:r>
      <w:r w:rsidR="001573BC">
        <w:t xml:space="preserve">ménages </w:t>
      </w:r>
      <w:r w:rsidRPr="003708FD">
        <w:t>locataires</w:t>
      </w:r>
      <w:bookmarkEnd w:id="104"/>
      <w:bookmarkEnd w:id="105"/>
    </w:p>
    <w:p w:rsidR="00B811FE" w:rsidRPr="0072397D" w:rsidRDefault="00B811FE" w:rsidP="003107C9">
      <w:pPr>
        <w:tabs>
          <w:tab w:val="left" w:pos="-1440"/>
          <w:tab w:val="left" w:pos="-720"/>
          <w:tab w:val="left" w:pos="0"/>
          <w:tab w:val="left" w:pos="720"/>
          <w:tab w:val="right" w:leader="dot" w:pos="5159"/>
        </w:tabs>
        <w:spacing w:before="240"/>
        <w:jc w:val="both"/>
        <w:rPr>
          <w:rFonts w:ascii="Trebuchet MS" w:hAnsi="Trebuchet MS"/>
        </w:rPr>
      </w:pPr>
      <w:r w:rsidRPr="0072397D">
        <w:rPr>
          <w:rFonts w:ascii="Trebuchet MS" w:hAnsi="Trebuchet MS"/>
        </w:rPr>
        <w:t>Les résultats du tableau ci-</w:t>
      </w:r>
      <w:r w:rsidR="001573BC">
        <w:rPr>
          <w:rFonts w:ascii="Trebuchet MS" w:hAnsi="Trebuchet MS"/>
        </w:rPr>
        <w:t>après</w:t>
      </w:r>
      <w:r w:rsidRPr="0072397D">
        <w:rPr>
          <w:rFonts w:ascii="Trebuchet MS" w:hAnsi="Trebuchet MS"/>
        </w:rPr>
        <w:t xml:space="preserve"> révèlent que </w:t>
      </w:r>
      <w:r w:rsidR="001573BC">
        <w:rPr>
          <w:rFonts w:ascii="Trebuchet MS" w:hAnsi="Trebuchet MS"/>
        </w:rPr>
        <w:t xml:space="preserve">globalement, </w:t>
      </w:r>
      <w:r w:rsidRPr="0072397D">
        <w:rPr>
          <w:rFonts w:ascii="Trebuchet MS" w:hAnsi="Trebuchet MS"/>
        </w:rPr>
        <w:t>le loyer mensuel moyen payé par les</w:t>
      </w:r>
      <w:r w:rsidR="00C4790B">
        <w:rPr>
          <w:rFonts w:ascii="Trebuchet MS" w:hAnsi="Trebuchet MS"/>
        </w:rPr>
        <w:t xml:space="preserve"> ménages</w:t>
      </w:r>
      <w:r w:rsidRPr="0072397D">
        <w:rPr>
          <w:rFonts w:ascii="Trebuchet MS" w:hAnsi="Trebuchet MS"/>
        </w:rPr>
        <w:t xml:space="preserve"> locataires est</w:t>
      </w:r>
      <w:r w:rsidR="00C4790B">
        <w:rPr>
          <w:rFonts w:ascii="Trebuchet MS" w:hAnsi="Trebuchet MS"/>
        </w:rPr>
        <w:t xml:space="preserve"> estimé à </w:t>
      </w:r>
      <w:r w:rsidRPr="0072397D">
        <w:rPr>
          <w:rFonts w:ascii="Trebuchet MS" w:hAnsi="Trebuchet MS"/>
        </w:rPr>
        <w:t>13</w:t>
      </w:r>
      <w:r w:rsidR="003708FD">
        <w:rPr>
          <w:rFonts w:ascii="Trebuchet MS" w:hAnsi="Trebuchet MS"/>
        </w:rPr>
        <w:t> </w:t>
      </w:r>
      <w:r w:rsidR="00C4790B">
        <w:rPr>
          <w:rFonts w:ascii="Trebuchet MS" w:hAnsi="Trebuchet MS"/>
        </w:rPr>
        <w:t>307 FCFA</w:t>
      </w:r>
      <w:r w:rsidRPr="0072397D">
        <w:rPr>
          <w:rFonts w:ascii="Trebuchet MS" w:hAnsi="Trebuchet MS"/>
        </w:rPr>
        <w:t xml:space="preserve">. </w:t>
      </w:r>
      <w:r w:rsidR="00C4790B">
        <w:rPr>
          <w:rFonts w:ascii="Trebuchet MS" w:hAnsi="Trebuchet MS"/>
        </w:rPr>
        <w:t>C</w:t>
      </w:r>
      <w:r w:rsidRPr="0072397D">
        <w:rPr>
          <w:rFonts w:ascii="Trebuchet MS" w:hAnsi="Trebuchet MS"/>
        </w:rPr>
        <w:t>e loyer est</w:t>
      </w:r>
      <w:r w:rsidR="00C4790B">
        <w:rPr>
          <w:rFonts w:ascii="Trebuchet MS" w:hAnsi="Trebuchet MS"/>
        </w:rPr>
        <w:t xml:space="preserve"> estimé à</w:t>
      </w:r>
      <w:r w:rsidRPr="0072397D">
        <w:rPr>
          <w:rFonts w:ascii="Trebuchet MS" w:hAnsi="Trebuchet MS"/>
        </w:rPr>
        <w:t xml:space="preserve"> de 15106 FCA</w:t>
      </w:r>
      <w:r w:rsidR="00C4790B">
        <w:rPr>
          <w:rFonts w:ascii="Trebuchet MS" w:hAnsi="Trebuchet MS"/>
        </w:rPr>
        <w:t xml:space="preserve"> en </w:t>
      </w:r>
      <w:r w:rsidR="00C4790B" w:rsidRPr="0072397D">
        <w:rPr>
          <w:rFonts w:ascii="Trebuchet MS" w:hAnsi="Trebuchet MS"/>
        </w:rPr>
        <w:t>milieu urbain</w:t>
      </w:r>
      <w:r w:rsidRPr="0072397D">
        <w:rPr>
          <w:rFonts w:ascii="Trebuchet MS" w:hAnsi="Trebuchet MS"/>
        </w:rPr>
        <w:t xml:space="preserve"> contre 8</w:t>
      </w:r>
      <w:r w:rsidR="00C4790B">
        <w:rPr>
          <w:rFonts w:ascii="Trebuchet MS" w:hAnsi="Trebuchet MS"/>
        </w:rPr>
        <w:t> </w:t>
      </w:r>
      <w:r w:rsidRPr="0072397D">
        <w:rPr>
          <w:rFonts w:ascii="Trebuchet MS" w:hAnsi="Trebuchet MS"/>
        </w:rPr>
        <w:t>650 FCFA en milieu rural (soit un écart de 6</w:t>
      </w:r>
      <w:r w:rsidR="00C4790B">
        <w:rPr>
          <w:rFonts w:ascii="Trebuchet MS" w:hAnsi="Trebuchet MS"/>
        </w:rPr>
        <w:t> </w:t>
      </w:r>
      <w:r w:rsidRPr="0072397D">
        <w:rPr>
          <w:rFonts w:ascii="Trebuchet MS" w:hAnsi="Trebuchet MS"/>
        </w:rPr>
        <w:t>456 FCFA).</w:t>
      </w:r>
    </w:p>
    <w:p w:rsidR="00B811FE" w:rsidRPr="0072397D" w:rsidRDefault="00C4790B" w:rsidP="003107C9">
      <w:pPr>
        <w:tabs>
          <w:tab w:val="left" w:pos="-1440"/>
          <w:tab w:val="left" w:pos="-720"/>
          <w:tab w:val="left" w:pos="0"/>
          <w:tab w:val="left" w:pos="720"/>
          <w:tab w:val="right" w:leader="dot" w:pos="5159"/>
        </w:tabs>
        <w:jc w:val="both"/>
        <w:rPr>
          <w:rFonts w:ascii="Trebuchet MS" w:hAnsi="Trebuchet MS"/>
        </w:rPr>
      </w:pPr>
      <w:r>
        <w:rPr>
          <w:rFonts w:ascii="Trebuchet MS" w:hAnsi="Trebuchet MS"/>
        </w:rPr>
        <w:t>L’analyse selon le</w:t>
      </w:r>
      <w:r w:rsidR="00B811FE" w:rsidRPr="0072397D">
        <w:rPr>
          <w:rFonts w:ascii="Trebuchet MS" w:hAnsi="Trebuchet MS"/>
        </w:rPr>
        <w:t xml:space="preserve"> nombre de pièces dans le logement</w:t>
      </w:r>
      <w:r>
        <w:rPr>
          <w:rFonts w:ascii="Trebuchet MS" w:hAnsi="Trebuchet MS"/>
        </w:rPr>
        <w:t xml:space="preserve"> montre que l</w:t>
      </w:r>
      <w:r w:rsidRPr="0072397D">
        <w:rPr>
          <w:rFonts w:ascii="Trebuchet MS" w:hAnsi="Trebuchet MS"/>
        </w:rPr>
        <w:t>e loyer mensuel moyen payé augmente dans la plupart des cas en fonction du nombre de pièces dans le logement</w:t>
      </w:r>
      <w:r>
        <w:rPr>
          <w:rFonts w:ascii="Trebuchet MS" w:hAnsi="Trebuchet MS"/>
        </w:rPr>
        <w:t xml:space="preserve">. En effet, </w:t>
      </w:r>
      <w:r w:rsidR="00B811FE" w:rsidRPr="0072397D">
        <w:rPr>
          <w:rFonts w:ascii="Trebuchet MS" w:hAnsi="Trebuchet MS"/>
        </w:rPr>
        <w:t>dans l’</w:t>
      </w:r>
      <w:r>
        <w:rPr>
          <w:rFonts w:ascii="Trebuchet MS" w:hAnsi="Trebuchet MS"/>
        </w:rPr>
        <w:t xml:space="preserve">ensemble, </w:t>
      </w:r>
      <w:r w:rsidR="00B811FE" w:rsidRPr="0072397D">
        <w:rPr>
          <w:rFonts w:ascii="Trebuchet MS" w:hAnsi="Trebuchet MS"/>
        </w:rPr>
        <w:t xml:space="preserve">les logements à cinq pièces qui sont les plus chers </w:t>
      </w:r>
      <w:r>
        <w:rPr>
          <w:rFonts w:ascii="Trebuchet MS" w:hAnsi="Trebuchet MS"/>
        </w:rPr>
        <w:t xml:space="preserve">en termes de location avec </w:t>
      </w:r>
      <w:r w:rsidR="00B811FE" w:rsidRPr="0072397D">
        <w:rPr>
          <w:rFonts w:ascii="Trebuchet MS" w:hAnsi="Trebuchet MS"/>
        </w:rPr>
        <w:t>23</w:t>
      </w:r>
      <w:r>
        <w:rPr>
          <w:rFonts w:ascii="Trebuchet MS" w:hAnsi="Trebuchet MS"/>
        </w:rPr>
        <w:t xml:space="preserve"> 125 FCFA payés </w:t>
      </w:r>
      <w:r w:rsidR="00C355C2">
        <w:rPr>
          <w:rFonts w:ascii="Trebuchet MS" w:hAnsi="Trebuchet MS"/>
        </w:rPr>
        <w:t xml:space="preserve">en moyenne </w:t>
      </w:r>
      <w:r>
        <w:rPr>
          <w:rFonts w:ascii="Trebuchet MS" w:hAnsi="Trebuchet MS"/>
        </w:rPr>
        <w:t xml:space="preserve">par les ménages par mois ; les logements </w:t>
      </w:r>
      <w:r w:rsidR="00B811FE" w:rsidRPr="0072397D">
        <w:rPr>
          <w:rFonts w:ascii="Trebuchet MS" w:hAnsi="Trebuchet MS"/>
        </w:rPr>
        <w:t>qui coûtent moins chers sont les logements à une pièce (5</w:t>
      </w:r>
      <w:r>
        <w:rPr>
          <w:rFonts w:ascii="Trebuchet MS" w:hAnsi="Trebuchet MS"/>
        </w:rPr>
        <w:t> </w:t>
      </w:r>
      <w:r w:rsidR="00B811FE" w:rsidRPr="0072397D">
        <w:rPr>
          <w:rFonts w:ascii="Trebuchet MS" w:hAnsi="Trebuchet MS"/>
        </w:rPr>
        <w:t>875 FCFA</w:t>
      </w:r>
      <w:r w:rsidR="00C355C2">
        <w:rPr>
          <w:rFonts w:ascii="Trebuchet MS" w:hAnsi="Trebuchet MS"/>
        </w:rPr>
        <w:t xml:space="preserve">en moyenne </w:t>
      </w:r>
      <w:r>
        <w:rPr>
          <w:rFonts w:ascii="Trebuchet MS" w:hAnsi="Trebuchet MS"/>
        </w:rPr>
        <w:t>le mois</w:t>
      </w:r>
      <w:r w:rsidR="00B811FE" w:rsidRPr="0072397D">
        <w:rPr>
          <w:rFonts w:ascii="Trebuchet MS" w:hAnsi="Trebuchet MS"/>
        </w:rPr>
        <w:t>). On remarque également un écart entre le loyer mensuel moyen payé par les locataires en milieu urbain et celui payé par les locataires en milieu rural. Ainsi pour les logements à une pièce, le loyer mensuel moyen est de 6</w:t>
      </w:r>
      <w:r w:rsidR="00C355C2">
        <w:rPr>
          <w:rFonts w:ascii="Trebuchet MS" w:hAnsi="Trebuchet MS"/>
        </w:rPr>
        <w:t> </w:t>
      </w:r>
      <w:r w:rsidR="00B811FE" w:rsidRPr="0072397D">
        <w:rPr>
          <w:rFonts w:ascii="Trebuchet MS" w:hAnsi="Trebuchet MS"/>
        </w:rPr>
        <w:t>967 FCFA en milieu urbain contre 4</w:t>
      </w:r>
      <w:r w:rsidR="00C355C2">
        <w:rPr>
          <w:rFonts w:ascii="Trebuchet MS" w:hAnsi="Trebuchet MS"/>
        </w:rPr>
        <w:t> </w:t>
      </w:r>
      <w:r w:rsidR="00B811FE" w:rsidRPr="0072397D">
        <w:rPr>
          <w:rFonts w:ascii="Trebuchet MS" w:hAnsi="Trebuchet MS"/>
        </w:rPr>
        <w:t>056 FCFA soit un écart de 2</w:t>
      </w:r>
      <w:r w:rsidR="00C355C2">
        <w:rPr>
          <w:rFonts w:ascii="Trebuchet MS" w:hAnsi="Trebuchet MS"/>
        </w:rPr>
        <w:t> </w:t>
      </w:r>
      <w:r w:rsidR="00B811FE" w:rsidRPr="0072397D">
        <w:rPr>
          <w:rFonts w:ascii="Trebuchet MS" w:hAnsi="Trebuchet MS"/>
        </w:rPr>
        <w:t xml:space="preserve">911 FCFA ; pour les logements à trois pièces, ce loyer </w:t>
      </w:r>
      <w:r w:rsidR="00C355C2">
        <w:rPr>
          <w:rFonts w:ascii="Trebuchet MS" w:hAnsi="Trebuchet MS"/>
        </w:rPr>
        <w:t xml:space="preserve">mensuel moyen </w:t>
      </w:r>
      <w:r w:rsidR="00B811FE" w:rsidRPr="0072397D">
        <w:rPr>
          <w:rFonts w:ascii="Trebuchet MS" w:hAnsi="Trebuchet MS"/>
        </w:rPr>
        <w:t>est</w:t>
      </w:r>
      <w:r w:rsidR="00C355C2">
        <w:rPr>
          <w:rFonts w:ascii="Trebuchet MS" w:hAnsi="Trebuchet MS"/>
        </w:rPr>
        <w:t xml:space="preserve"> estimé à</w:t>
      </w:r>
      <w:r w:rsidR="00B811FE" w:rsidRPr="0072397D">
        <w:rPr>
          <w:rFonts w:ascii="Trebuchet MS" w:hAnsi="Trebuchet MS"/>
        </w:rPr>
        <w:t xml:space="preserve"> 22</w:t>
      </w:r>
      <w:r w:rsidR="00C355C2">
        <w:rPr>
          <w:rFonts w:ascii="Trebuchet MS" w:hAnsi="Trebuchet MS"/>
        </w:rPr>
        <w:t> </w:t>
      </w:r>
      <w:r w:rsidR="00B811FE" w:rsidRPr="0072397D">
        <w:rPr>
          <w:rFonts w:ascii="Trebuchet MS" w:hAnsi="Trebuchet MS"/>
        </w:rPr>
        <w:t>906 FCFA en milieu urbain contre 11</w:t>
      </w:r>
      <w:r w:rsidR="00C355C2">
        <w:rPr>
          <w:rFonts w:ascii="Trebuchet MS" w:hAnsi="Trebuchet MS"/>
        </w:rPr>
        <w:t> </w:t>
      </w:r>
      <w:r w:rsidR="00B811FE" w:rsidRPr="0072397D">
        <w:rPr>
          <w:rFonts w:ascii="Trebuchet MS" w:hAnsi="Trebuchet MS"/>
        </w:rPr>
        <w:t>188 FCFA en milieu urbain soit un écart de 11</w:t>
      </w:r>
      <w:r w:rsidR="00C355C2">
        <w:rPr>
          <w:rFonts w:ascii="Trebuchet MS" w:hAnsi="Trebuchet MS"/>
        </w:rPr>
        <w:t> </w:t>
      </w:r>
      <w:r w:rsidR="00B811FE" w:rsidRPr="0072397D">
        <w:rPr>
          <w:rFonts w:ascii="Trebuchet MS" w:hAnsi="Trebuchet MS"/>
        </w:rPr>
        <w:t>718</w:t>
      </w:r>
      <w:r w:rsidR="00C355C2">
        <w:rPr>
          <w:rFonts w:ascii="Trebuchet MS" w:hAnsi="Trebuchet MS"/>
        </w:rPr>
        <w:t> </w:t>
      </w:r>
      <w:r w:rsidR="00B811FE" w:rsidRPr="0072397D">
        <w:rPr>
          <w:rFonts w:ascii="Trebuchet MS" w:hAnsi="Trebuchet MS"/>
        </w:rPr>
        <w:t xml:space="preserve">FCFA. </w:t>
      </w:r>
    </w:p>
    <w:p w:rsidR="003107C9" w:rsidRDefault="003107C9" w:rsidP="003107C9">
      <w:pPr>
        <w:keepNext/>
        <w:spacing w:after="0"/>
        <w:rPr>
          <w:rFonts w:ascii="Trebuchet MS" w:hAnsi="Trebuchet MS"/>
          <w:b/>
        </w:rPr>
      </w:pPr>
      <w:bookmarkStart w:id="106" w:name="_Toc426359257"/>
      <w:r w:rsidRPr="003107C9">
        <w:rPr>
          <w:rFonts w:ascii="Trebuchet MS" w:hAnsi="Trebuchet MS"/>
          <w:b/>
          <w:sz w:val="20"/>
        </w:rPr>
        <w:t xml:space="preserve">Graphique </w:t>
      </w:r>
      <w:r w:rsidR="00792500" w:rsidRPr="003107C9">
        <w:rPr>
          <w:rFonts w:ascii="Trebuchet MS" w:hAnsi="Trebuchet MS"/>
          <w:b/>
          <w:sz w:val="20"/>
        </w:rPr>
        <w:fldChar w:fldCharType="begin"/>
      </w:r>
      <w:r w:rsidRPr="003107C9">
        <w:rPr>
          <w:rFonts w:ascii="Trebuchet MS" w:hAnsi="Trebuchet MS"/>
          <w:b/>
          <w:sz w:val="20"/>
        </w:rPr>
        <w:instrText xml:space="preserve"> SEQ Graphique \* ARABIC </w:instrText>
      </w:r>
      <w:r w:rsidR="00792500" w:rsidRPr="003107C9">
        <w:rPr>
          <w:rFonts w:ascii="Trebuchet MS" w:hAnsi="Trebuchet MS"/>
          <w:b/>
          <w:sz w:val="20"/>
        </w:rPr>
        <w:fldChar w:fldCharType="separate"/>
      </w:r>
      <w:r w:rsidR="00605DE4">
        <w:rPr>
          <w:rFonts w:ascii="Trebuchet MS" w:hAnsi="Trebuchet MS"/>
          <w:b/>
          <w:noProof/>
          <w:sz w:val="20"/>
        </w:rPr>
        <w:t>3</w:t>
      </w:r>
      <w:r w:rsidR="00792500" w:rsidRPr="003107C9">
        <w:rPr>
          <w:rFonts w:ascii="Trebuchet MS" w:hAnsi="Trebuchet MS"/>
          <w:b/>
          <w:sz w:val="20"/>
        </w:rPr>
        <w:fldChar w:fldCharType="end"/>
      </w:r>
      <w:r w:rsidRPr="003107C9">
        <w:rPr>
          <w:rFonts w:ascii="Trebuchet MS" w:hAnsi="Trebuchet MS"/>
          <w:b/>
          <w:sz w:val="20"/>
        </w:rPr>
        <w:t>: Loyer mensuel moyen payé par les ménages locataires selon le nombre de pièces que comporte le logement</w:t>
      </w:r>
      <w:bookmarkEnd w:id="106"/>
    </w:p>
    <w:p w:rsidR="003107C9" w:rsidRPr="003107C9" w:rsidRDefault="003107C9" w:rsidP="003107C9">
      <w:pPr>
        <w:keepNext/>
        <w:spacing w:after="0"/>
        <w:rPr>
          <w:rFonts w:ascii="Trebuchet MS" w:hAnsi="Trebuchet MS"/>
        </w:rPr>
      </w:pPr>
      <w:r w:rsidRPr="001573BC">
        <w:rPr>
          <w:rFonts w:ascii="Trebuchet MS" w:hAnsi="Trebuchet MS"/>
          <w:noProof/>
          <w:lang w:eastAsia="fr-FR"/>
        </w:rPr>
        <w:drawing>
          <wp:inline distT="0" distB="0" distL="0" distR="0">
            <wp:extent cx="5691742" cy="3264195"/>
            <wp:effectExtent l="0" t="0" r="23495" b="12700"/>
            <wp:docPr id="30"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07C9" w:rsidRPr="003107C9" w:rsidRDefault="003107C9" w:rsidP="003107C9">
      <w:pPr>
        <w:keepNext/>
        <w:rPr>
          <w:rFonts w:ascii="Trebuchet MS" w:hAnsi="Trebuchet MS"/>
          <w:b/>
        </w:rPr>
      </w:pPr>
      <w:r w:rsidRPr="003107C9">
        <w:rPr>
          <w:rFonts w:ascii="Trebuchet MS" w:hAnsi="Trebuchet MS" w:cs="Arial"/>
          <w:b/>
          <w:bCs/>
          <w:color w:val="000000"/>
          <w:sz w:val="20"/>
        </w:rPr>
        <w:t>Source : ECEB, INSAE, 2015</w:t>
      </w:r>
    </w:p>
    <w:p w:rsidR="00B811FE" w:rsidRDefault="006743A9" w:rsidP="003107C9">
      <w:pPr>
        <w:spacing w:before="240"/>
        <w:jc w:val="both"/>
        <w:rPr>
          <w:rFonts w:ascii="Trebuchet MS" w:hAnsi="Trebuchet MS"/>
        </w:rPr>
      </w:pPr>
      <w:r>
        <w:rPr>
          <w:rFonts w:ascii="Trebuchet MS" w:hAnsi="Trebuchet MS"/>
        </w:rPr>
        <w:t xml:space="preserve">Par rapport au département, le </w:t>
      </w:r>
      <w:r w:rsidR="00B811FE" w:rsidRPr="0072397D">
        <w:rPr>
          <w:rFonts w:ascii="Trebuchet MS" w:hAnsi="Trebuchet MS"/>
        </w:rPr>
        <w:t>loyer mensuel moyen payé par les</w:t>
      </w:r>
      <w:r>
        <w:rPr>
          <w:rFonts w:ascii="Trebuchet MS" w:hAnsi="Trebuchet MS"/>
        </w:rPr>
        <w:t xml:space="preserve"> ménages </w:t>
      </w:r>
      <w:r w:rsidR="00B811FE" w:rsidRPr="0072397D">
        <w:rPr>
          <w:rFonts w:ascii="Trebuchet MS" w:hAnsi="Trebuchet MS"/>
        </w:rPr>
        <w:t xml:space="preserve">locataires </w:t>
      </w:r>
      <w:r>
        <w:rPr>
          <w:rFonts w:ascii="Trebuchet MS" w:hAnsi="Trebuchet MS"/>
        </w:rPr>
        <w:t>est plus élevé dans les départements du Littoral (</w:t>
      </w:r>
      <w:r w:rsidRPr="00440BE3">
        <w:rPr>
          <w:rFonts w:ascii="Trebuchet MS" w:hAnsi="Trebuchet MS"/>
        </w:rPr>
        <w:t>23 360 FCFA</w:t>
      </w:r>
      <w:r>
        <w:rPr>
          <w:rFonts w:ascii="Trebuchet MS" w:hAnsi="Trebuchet MS"/>
        </w:rPr>
        <w:t>), de l’Ouémé (</w:t>
      </w:r>
      <w:r w:rsidR="00440BE3">
        <w:rPr>
          <w:rFonts w:ascii="Trebuchet MS" w:hAnsi="Trebuchet MS"/>
        </w:rPr>
        <w:t xml:space="preserve">15 625 </w:t>
      </w:r>
      <w:r w:rsidR="00440BE3" w:rsidRPr="00440BE3">
        <w:rPr>
          <w:rFonts w:ascii="Trebuchet MS" w:hAnsi="Trebuchet MS"/>
        </w:rPr>
        <w:t>FCFA</w:t>
      </w:r>
      <w:r>
        <w:rPr>
          <w:rFonts w:ascii="Trebuchet MS" w:hAnsi="Trebuchet MS"/>
        </w:rPr>
        <w:t>) et de l’Atlantique (</w:t>
      </w:r>
      <w:r w:rsidR="00440BE3" w:rsidRPr="00440BE3">
        <w:rPr>
          <w:rFonts w:ascii="Trebuchet MS" w:hAnsi="Trebuchet MS"/>
        </w:rPr>
        <w:t>12 396 FCFA</w:t>
      </w:r>
      <w:r>
        <w:rPr>
          <w:rFonts w:ascii="Trebuchet MS" w:hAnsi="Trebuchet MS"/>
        </w:rPr>
        <w:t>)</w:t>
      </w:r>
      <w:r w:rsidR="00B811FE" w:rsidRPr="0072397D">
        <w:rPr>
          <w:rFonts w:ascii="Trebuchet MS" w:hAnsi="Trebuchet MS"/>
        </w:rPr>
        <w:t xml:space="preserve">. </w:t>
      </w:r>
    </w:p>
    <w:p w:rsidR="003107C9" w:rsidRPr="003107C9" w:rsidRDefault="003107C9" w:rsidP="003107C9">
      <w:pPr>
        <w:keepNext/>
        <w:spacing w:before="240" w:after="0" w:line="240" w:lineRule="auto"/>
        <w:jc w:val="both"/>
        <w:rPr>
          <w:rFonts w:ascii="Trebuchet MS" w:hAnsi="Trebuchet MS"/>
          <w:b/>
        </w:rPr>
      </w:pPr>
      <w:bookmarkStart w:id="107" w:name="_Toc425955988"/>
      <w:bookmarkStart w:id="108" w:name="_Toc426359329"/>
      <w:r w:rsidRPr="003107C9">
        <w:rPr>
          <w:rFonts w:ascii="Trebuchet MS" w:hAnsi="Trebuchet MS"/>
          <w:b/>
          <w:sz w:val="20"/>
        </w:rPr>
        <w:t xml:space="preserve">Tableau </w:t>
      </w:r>
      <w:r w:rsidR="00792500" w:rsidRPr="003107C9">
        <w:rPr>
          <w:rFonts w:ascii="Trebuchet MS" w:hAnsi="Trebuchet MS"/>
          <w:b/>
          <w:sz w:val="20"/>
        </w:rPr>
        <w:fldChar w:fldCharType="begin"/>
      </w:r>
      <w:r w:rsidRPr="003107C9">
        <w:rPr>
          <w:rFonts w:ascii="Trebuchet MS" w:hAnsi="Trebuchet MS"/>
          <w:b/>
          <w:sz w:val="20"/>
        </w:rPr>
        <w:instrText xml:space="preserve"> SEQ Tableau \* ARABIC </w:instrText>
      </w:r>
      <w:r w:rsidR="00792500" w:rsidRPr="003107C9">
        <w:rPr>
          <w:rFonts w:ascii="Trebuchet MS" w:hAnsi="Trebuchet MS"/>
          <w:b/>
          <w:sz w:val="20"/>
        </w:rPr>
        <w:fldChar w:fldCharType="separate"/>
      </w:r>
      <w:r w:rsidR="00556962">
        <w:rPr>
          <w:rFonts w:ascii="Trebuchet MS" w:hAnsi="Trebuchet MS"/>
          <w:b/>
          <w:noProof/>
          <w:sz w:val="20"/>
        </w:rPr>
        <w:t>10</w:t>
      </w:r>
      <w:r w:rsidR="00792500" w:rsidRPr="003107C9">
        <w:rPr>
          <w:rFonts w:ascii="Trebuchet MS" w:hAnsi="Trebuchet MS"/>
          <w:b/>
          <w:sz w:val="20"/>
        </w:rPr>
        <w:fldChar w:fldCharType="end"/>
      </w:r>
      <w:r w:rsidRPr="003107C9">
        <w:rPr>
          <w:rFonts w:ascii="Trebuchet MS" w:hAnsi="Trebuchet MS"/>
          <w:b/>
          <w:color w:val="000000"/>
          <w:sz w:val="20"/>
        </w:rPr>
        <w:t>: Loyer mensuel moyen payé par les ménages locataires suivant le milieu de résidence et par département</w:t>
      </w:r>
      <w:bookmarkEnd w:id="107"/>
      <w:bookmarkEnd w:id="108"/>
    </w:p>
    <w:tbl>
      <w:tblPr>
        <w:tblW w:w="4883"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218"/>
        <w:gridCol w:w="1130"/>
        <w:gridCol w:w="977"/>
        <w:gridCol w:w="1029"/>
        <w:gridCol w:w="1592"/>
        <w:gridCol w:w="1033"/>
        <w:gridCol w:w="1017"/>
      </w:tblGrid>
      <w:tr w:rsidR="00B811FE" w:rsidRPr="00CF086A" w:rsidTr="003107C9">
        <w:trPr>
          <w:trHeight w:val="359"/>
          <w:tblHeader/>
        </w:trPr>
        <w:tc>
          <w:tcPr>
            <w:tcW w:w="1233" w:type="pct"/>
            <w:tcBorders>
              <w:top w:val="double" w:sz="4" w:space="0" w:color="auto"/>
              <w:bottom w:val="nil"/>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1743" w:type="pct"/>
            <w:gridSpan w:val="3"/>
            <w:tcBorders>
              <w:top w:val="double" w:sz="4" w:space="0" w:color="auto"/>
              <w:bottom w:val="single" w:sz="4" w:space="0" w:color="auto"/>
            </w:tcBorders>
            <w:shd w:val="clear" w:color="auto" w:fill="auto"/>
            <w:vAlign w:val="bottom"/>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Loyer mensuel moyen payé par les locataires</w:t>
            </w:r>
          </w:p>
        </w:tc>
        <w:tc>
          <w:tcPr>
            <w:tcW w:w="885" w:type="pct"/>
            <w:vMerge w:val="restart"/>
            <w:tcBorders>
              <w:top w:val="double" w:sz="4" w:space="0" w:color="auto"/>
              <w:bottom w:val="nil"/>
            </w:tcBorders>
            <w:shd w:val="clear" w:color="auto" w:fill="auto"/>
            <w:vAlign w:val="bottom"/>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que comporte le logement</w:t>
            </w:r>
          </w:p>
        </w:tc>
        <w:tc>
          <w:tcPr>
            <w:tcW w:w="574" w:type="pct"/>
            <w:vMerge w:val="restart"/>
            <w:tcBorders>
              <w:top w:val="double" w:sz="4" w:space="0" w:color="auto"/>
              <w:bottom w:val="nil"/>
            </w:tcBorders>
            <w:shd w:val="clear" w:color="auto" w:fill="auto"/>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 locataires</w:t>
            </w:r>
          </w:p>
        </w:tc>
        <w:tc>
          <w:tcPr>
            <w:tcW w:w="565" w:type="pct"/>
            <w:vMerge w:val="restart"/>
            <w:tcBorders>
              <w:top w:val="double" w:sz="4" w:space="0" w:color="auto"/>
              <w:bottom w:val="nil"/>
            </w:tcBorders>
            <w:shd w:val="clear" w:color="auto" w:fill="auto"/>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total des ménages</w:t>
            </w:r>
          </w:p>
        </w:tc>
      </w:tr>
      <w:tr w:rsidR="003107C9" w:rsidRPr="00CF086A" w:rsidTr="003107C9">
        <w:trPr>
          <w:trHeight w:val="70"/>
          <w:tblHeader/>
        </w:trPr>
        <w:tc>
          <w:tcPr>
            <w:tcW w:w="1233" w:type="pct"/>
            <w:tcBorders>
              <w:top w:val="nil"/>
              <w:bottom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28" w:type="pct"/>
            <w:tcBorders>
              <w:top w:val="single" w:sz="4" w:space="0" w:color="auto"/>
              <w:bottom w:val="single" w:sz="4" w:space="0" w:color="auto"/>
            </w:tcBorders>
            <w:shd w:val="clear" w:color="auto" w:fill="auto"/>
            <w:noWrap/>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543" w:type="pct"/>
            <w:tcBorders>
              <w:top w:val="single" w:sz="4" w:space="0" w:color="auto"/>
              <w:bottom w:val="single" w:sz="4" w:space="0" w:color="auto"/>
            </w:tcBorders>
            <w:shd w:val="clear" w:color="auto" w:fill="auto"/>
            <w:noWrap/>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572" w:type="pct"/>
            <w:tcBorders>
              <w:top w:val="single" w:sz="4" w:space="0" w:color="auto"/>
              <w:bottom w:val="single" w:sz="4" w:space="0" w:color="auto"/>
            </w:tcBorders>
            <w:shd w:val="clear" w:color="auto" w:fill="auto"/>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885"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574"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565"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r>
      <w:tr w:rsidR="00B811FE" w:rsidRPr="00CF086A" w:rsidTr="003107C9">
        <w:trPr>
          <w:trHeight w:val="198"/>
        </w:trPr>
        <w:tc>
          <w:tcPr>
            <w:tcW w:w="1233"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xml:space="preserve">Département </w:t>
            </w:r>
          </w:p>
        </w:tc>
        <w:tc>
          <w:tcPr>
            <w:tcW w:w="628"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43"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72"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885"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74"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65"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ALIBORI</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14 500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7 200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10 444</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309</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ATACORA</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9 089</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3 500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8 717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ATLANTIQUE</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15 210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8 432</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12 396</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316</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BORGOU</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10 208</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9 107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COLLINES</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7 083</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2 971</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5 378</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489</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COUFFO</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10 700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4 667</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8 438</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215</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DONGA</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9 150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2 833</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6 781</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308</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LITTORAL</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23 360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23 360</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96</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MONO</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8 340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4 500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7 597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OUEME</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12 000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18 591</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15 625</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r>
      <w:tr w:rsidR="00D163BC" w:rsidRPr="00CF086A" w:rsidTr="003107C9">
        <w:trPr>
          <w:trHeight w:val="80"/>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PLATEAU</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6 000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10 000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8 857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D163BC" w:rsidRPr="00CF086A" w:rsidTr="003107C9">
        <w:trPr>
          <w:trHeight w:val="80"/>
        </w:trPr>
        <w:tc>
          <w:tcPr>
            <w:tcW w:w="1233"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ZOU</w:t>
            </w:r>
          </w:p>
        </w:tc>
        <w:tc>
          <w:tcPr>
            <w:tcW w:w="628"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14 160</w:t>
            </w:r>
          </w:p>
        </w:tc>
        <w:tc>
          <w:tcPr>
            <w:tcW w:w="543"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7 324</w:t>
            </w:r>
          </w:p>
        </w:tc>
        <w:tc>
          <w:tcPr>
            <w:tcW w:w="572"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11 393</w:t>
            </w:r>
          </w:p>
        </w:tc>
        <w:tc>
          <w:tcPr>
            <w:tcW w:w="885"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565"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454</w:t>
            </w:r>
          </w:p>
        </w:tc>
      </w:tr>
      <w:tr w:rsidR="00D163BC" w:rsidRPr="00CF086A" w:rsidTr="003107C9">
        <w:trPr>
          <w:trHeight w:val="198"/>
        </w:trPr>
        <w:tc>
          <w:tcPr>
            <w:tcW w:w="1233"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628"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15 106</w:t>
            </w:r>
          </w:p>
        </w:tc>
        <w:tc>
          <w:tcPr>
            <w:tcW w:w="543"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8 650</w:t>
            </w:r>
          </w:p>
        </w:tc>
        <w:tc>
          <w:tcPr>
            <w:tcW w:w="572"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13 307</w:t>
            </w:r>
          </w:p>
        </w:tc>
        <w:tc>
          <w:tcPr>
            <w:tcW w:w="885"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394</w:t>
            </w:r>
          </w:p>
        </w:tc>
        <w:tc>
          <w:tcPr>
            <w:tcW w:w="565"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3816</w:t>
            </w:r>
          </w:p>
        </w:tc>
      </w:tr>
      <w:tr w:rsidR="00440BE3" w:rsidRPr="00C247B4" w:rsidTr="003107C9">
        <w:trPr>
          <w:trHeight w:val="157"/>
        </w:trPr>
        <w:tc>
          <w:tcPr>
            <w:tcW w:w="5000" w:type="pct"/>
            <w:gridSpan w:val="7"/>
            <w:tcBorders>
              <w:top w:val="double" w:sz="4" w:space="0" w:color="auto"/>
              <w:bottom w:val="nil"/>
            </w:tcBorders>
            <w:shd w:val="clear" w:color="auto" w:fill="auto"/>
            <w:noWrap/>
            <w:vAlign w:val="bottom"/>
            <w:hideMark/>
          </w:tcPr>
          <w:p w:rsidR="00440BE3" w:rsidRPr="003107C9" w:rsidRDefault="00440BE3" w:rsidP="003107C9">
            <w:pPr>
              <w:keepNext/>
              <w:spacing w:after="0" w:line="240" w:lineRule="auto"/>
              <w:rPr>
                <w:rFonts w:ascii="Trebuchet MS" w:eastAsia="Times New Roman" w:hAnsi="Trebuchet MS" w:cs="Arial"/>
                <w:b/>
                <w:color w:val="000000"/>
                <w:sz w:val="20"/>
                <w:szCs w:val="20"/>
                <w:lang w:eastAsia="fr-FR"/>
              </w:rPr>
            </w:pPr>
            <w:r w:rsidRPr="003107C9">
              <w:rPr>
                <w:rFonts w:ascii="Trebuchet MS" w:hAnsi="Trebuchet MS" w:cs="Arial"/>
                <w:b/>
                <w:bCs/>
                <w:color w:val="000000"/>
                <w:sz w:val="20"/>
              </w:rPr>
              <w:t>Source : ECEB, INSAE, 2015</w:t>
            </w:r>
          </w:p>
        </w:tc>
      </w:tr>
    </w:tbl>
    <w:p w:rsidR="00B811FE" w:rsidRPr="0072397D" w:rsidRDefault="00B811FE" w:rsidP="006B6E18">
      <w:pPr>
        <w:tabs>
          <w:tab w:val="left" w:pos="-1440"/>
          <w:tab w:val="left" w:pos="-720"/>
          <w:tab w:val="left" w:pos="0"/>
          <w:tab w:val="left" w:pos="720"/>
          <w:tab w:val="right" w:leader="dot" w:pos="5159"/>
        </w:tabs>
        <w:spacing w:after="0"/>
        <w:ind w:left="720" w:hanging="720"/>
        <w:jc w:val="both"/>
        <w:rPr>
          <w:rFonts w:ascii="Trebuchet MS" w:hAnsi="Trebuchet MS"/>
        </w:rPr>
      </w:pPr>
    </w:p>
    <w:p w:rsidR="00440BE3" w:rsidRDefault="00440BE3" w:rsidP="00E722C3"/>
    <w:p w:rsidR="00E722C3" w:rsidRPr="006C2B3F" w:rsidRDefault="00EE3E92" w:rsidP="00D02C71">
      <w:pPr>
        <w:pStyle w:val="Titre3"/>
      </w:pPr>
      <w:hyperlink w:anchor="_Toc347429980" w:history="1">
        <w:bookmarkStart w:id="109" w:name="_Toc425961641"/>
        <w:bookmarkStart w:id="110" w:name="_Toc426359394"/>
        <w:bookmarkStart w:id="111" w:name="_Toc426359435"/>
        <w:r w:rsidR="00B811FE" w:rsidRPr="006C2B3F">
          <w:t>Situation d’emploi, moyens d’existence et biens possédés par les ménages</w:t>
        </w:r>
        <w:bookmarkEnd w:id="109"/>
        <w:bookmarkEnd w:id="110"/>
        <w:bookmarkEnd w:id="111"/>
        <w:r w:rsidR="00B811FE" w:rsidRPr="006C2B3F">
          <w:rPr>
            <w:webHidden/>
          </w:rPr>
          <w:tab/>
        </w:r>
      </w:hyperlink>
    </w:p>
    <w:p w:rsidR="00F15752" w:rsidRDefault="00F15752" w:rsidP="00E722C3">
      <w:pPr>
        <w:jc w:val="both"/>
        <w:rPr>
          <w:rFonts w:ascii="Trebuchet MS" w:hAnsi="Trebuchet MS"/>
        </w:rPr>
      </w:pPr>
      <w:r>
        <w:rPr>
          <w:rFonts w:ascii="Trebuchet MS" w:hAnsi="Trebuchet MS"/>
        </w:rPr>
        <w:t xml:space="preserve">Cette section </w:t>
      </w:r>
      <w:r w:rsidR="00E722C3" w:rsidRPr="00E722C3">
        <w:rPr>
          <w:rFonts w:ascii="Trebuchet MS" w:hAnsi="Trebuchet MS"/>
        </w:rPr>
        <w:t xml:space="preserve">présente </w:t>
      </w:r>
      <w:r>
        <w:rPr>
          <w:rFonts w:ascii="Trebuchet MS" w:hAnsi="Trebuchet MS"/>
        </w:rPr>
        <w:t xml:space="preserve">la situation </w:t>
      </w:r>
      <w:r w:rsidR="00E722C3" w:rsidRPr="00E722C3">
        <w:rPr>
          <w:rFonts w:ascii="Trebuchet MS" w:hAnsi="Trebuchet MS"/>
        </w:rPr>
        <w:t xml:space="preserve">d’activité </w:t>
      </w:r>
      <w:r>
        <w:rPr>
          <w:rFonts w:ascii="Trebuchet MS" w:hAnsi="Trebuchet MS"/>
        </w:rPr>
        <w:t>des</w:t>
      </w:r>
      <w:r w:rsidRPr="00E722C3">
        <w:rPr>
          <w:rFonts w:ascii="Trebuchet MS" w:hAnsi="Trebuchet MS"/>
        </w:rPr>
        <w:t xml:space="preserve"> chef</w:t>
      </w:r>
      <w:r>
        <w:rPr>
          <w:rFonts w:ascii="Trebuchet MS" w:hAnsi="Trebuchet MS"/>
        </w:rPr>
        <w:t>s</w:t>
      </w:r>
      <w:r w:rsidRPr="00E722C3">
        <w:rPr>
          <w:rFonts w:ascii="Trebuchet MS" w:hAnsi="Trebuchet MS"/>
        </w:rPr>
        <w:t xml:space="preserve"> de ménage</w:t>
      </w:r>
      <w:r>
        <w:rPr>
          <w:rFonts w:ascii="Trebuchet MS" w:hAnsi="Trebuchet MS"/>
        </w:rPr>
        <w:t>, leur moyens d’existence, les bien</w:t>
      </w:r>
      <w:r w:rsidR="002716AA">
        <w:rPr>
          <w:rFonts w:ascii="Trebuchet MS" w:hAnsi="Trebuchet MS"/>
        </w:rPr>
        <w:t>s</w:t>
      </w:r>
      <w:r>
        <w:rPr>
          <w:rFonts w:ascii="Trebuchet MS" w:hAnsi="Trebuchet MS"/>
        </w:rPr>
        <w:t xml:space="preserve"> possédés selon le </w:t>
      </w:r>
      <w:r w:rsidR="00E722C3" w:rsidRPr="00E722C3">
        <w:rPr>
          <w:rFonts w:ascii="Trebuchet MS" w:hAnsi="Trebuchet MS"/>
        </w:rPr>
        <w:t xml:space="preserve">département, </w:t>
      </w:r>
      <w:r>
        <w:rPr>
          <w:rFonts w:ascii="Trebuchet MS" w:hAnsi="Trebuchet MS"/>
        </w:rPr>
        <w:t>le</w:t>
      </w:r>
      <w:r w:rsidR="00E722C3" w:rsidRPr="00E722C3">
        <w:rPr>
          <w:rFonts w:ascii="Trebuchet MS" w:hAnsi="Trebuchet MS"/>
        </w:rPr>
        <w:t xml:space="preserve"> milieu de résidence, </w:t>
      </w:r>
      <w:r>
        <w:rPr>
          <w:rFonts w:ascii="Trebuchet MS" w:hAnsi="Trebuchet MS"/>
        </w:rPr>
        <w:t>leur sexe, leur âge et leur</w:t>
      </w:r>
      <w:r w:rsidR="00E722C3" w:rsidRPr="00E722C3">
        <w:rPr>
          <w:rFonts w:ascii="Trebuchet MS" w:hAnsi="Trebuchet MS"/>
        </w:rPr>
        <w:t xml:space="preserve"> niveau d’instruction.</w:t>
      </w:r>
    </w:p>
    <w:p w:rsidR="006B6E18" w:rsidRPr="00F57BAA" w:rsidRDefault="006B6E18" w:rsidP="00F03E08">
      <w:pPr>
        <w:pStyle w:val="Titre4"/>
        <w:numPr>
          <w:ilvl w:val="2"/>
          <w:numId w:val="6"/>
        </w:numPr>
      </w:pPr>
      <w:bookmarkStart w:id="112" w:name="_Toc425961642"/>
      <w:bookmarkStart w:id="113" w:name="_Toc426359436"/>
      <w:r w:rsidRPr="00F57BAA">
        <w:t xml:space="preserve">Structure des ménages </w:t>
      </w:r>
      <w:r>
        <w:t>selon la situation d’activité de leur chef</w:t>
      </w:r>
      <w:r w:rsidR="001111C2">
        <w:t xml:space="preserve"> suivant le département et le milieu de résidence</w:t>
      </w:r>
      <w:bookmarkEnd w:id="112"/>
      <w:bookmarkEnd w:id="113"/>
    </w:p>
    <w:p w:rsidR="00E722C3" w:rsidRPr="00E722C3" w:rsidRDefault="006B6E18" w:rsidP="00E722C3">
      <w:pPr>
        <w:jc w:val="both"/>
        <w:rPr>
          <w:rFonts w:ascii="Trebuchet MS" w:hAnsi="Trebuchet MS"/>
        </w:rPr>
      </w:pPr>
      <w:r>
        <w:rPr>
          <w:rFonts w:ascii="Trebuchet MS" w:hAnsi="Trebuchet MS"/>
        </w:rPr>
        <w:t xml:space="preserve">L’analyse des résultats de tableau ci-après révèle que </w:t>
      </w:r>
      <w:r w:rsidR="00E722C3" w:rsidRPr="00E722C3">
        <w:rPr>
          <w:rFonts w:ascii="Trebuchet MS" w:hAnsi="Trebuchet MS"/>
        </w:rPr>
        <w:t>dans l’ensemble</w:t>
      </w:r>
      <w:r>
        <w:rPr>
          <w:rFonts w:ascii="Trebuchet MS" w:hAnsi="Trebuchet MS"/>
        </w:rPr>
        <w:t xml:space="preserve">, six (6) ménages </w:t>
      </w:r>
      <w:r w:rsidR="00E722C3" w:rsidRPr="00E722C3">
        <w:rPr>
          <w:rFonts w:ascii="Trebuchet MS" w:hAnsi="Trebuchet MS"/>
        </w:rPr>
        <w:t xml:space="preserve">sur </w:t>
      </w:r>
      <w:r>
        <w:rPr>
          <w:rFonts w:ascii="Trebuchet MS" w:hAnsi="Trebuchet MS"/>
        </w:rPr>
        <w:t>dix (10)</w:t>
      </w:r>
      <w:r w:rsidR="00AA0EB1">
        <w:rPr>
          <w:rFonts w:ascii="Trebuchet MS" w:hAnsi="Trebuchet MS"/>
        </w:rPr>
        <w:t xml:space="preserve"> soit </w:t>
      </w:r>
      <w:r w:rsidR="00AA0EB1" w:rsidRPr="00E722C3">
        <w:rPr>
          <w:rFonts w:ascii="Trebuchet MS" w:hAnsi="Trebuchet MS"/>
        </w:rPr>
        <w:t>61,7%</w:t>
      </w:r>
      <w:r w:rsidR="00AA0EB1">
        <w:rPr>
          <w:rFonts w:ascii="Trebuchet MS" w:hAnsi="Trebuchet MS"/>
        </w:rPr>
        <w:t>,</w:t>
      </w:r>
      <w:r>
        <w:rPr>
          <w:rFonts w:ascii="Trebuchet MS" w:hAnsi="Trebuchet MS"/>
        </w:rPr>
        <w:t xml:space="preserve"> sont dirigés par des personnes qui </w:t>
      </w:r>
      <w:r w:rsidR="00E722C3" w:rsidRPr="00E722C3">
        <w:rPr>
          <w:rFonts w:ascii="Trebuchet MS" w:hAnsi="Trebuchet MS"/>
        </w:rPr>
        <w:t xml:space="preserve">travaillent à leur propre compte. </w:t>
      </w:r>
      <w:r w:rsidR="00AA0EB1">
        <w:rPr>
          <w:rFonts w:ascii="Trebuchet MS" w:hAnsi="Trebuchet MS"/>
        </w:rPr>
        <w:t>Par contre une part relativement faible (7,1%) des ménages est dirigée par des</w:t>
      </w:r>
      <w:r w:rsidR="00E722C3" w:rsidRPr="00E722C3">
        <w:rPr>
          <w:rFonts w:ascii="Trebuchet MS" w:hAnsi="Trebuchet MS"/>
        </w:rPr>
        <w:t xml:space="preserve"> salariés permanents</w:t>
      </w:r>
      <w:r w:rsidR="00AA0EB1">
        <w:rPr>
          <w:rFonts w:ascii="Trebuchet MS" w:hAnsi="Trebuchet MS"/>
        </w:rPr>
        <w:t>. H</w:t>
      </w:r>
      <w:r w:rsidR="00E722C3" w:rsidRPr="00E722C3">
        <w:rPr>
          <w:rFonts w:ascii="Trebuchet MS" w:hAnsi="Trebuchet MS"/>
        </w:rPr>
        <w:t xml:space="preserve">ormis </w:t>
      </w:r>
      <w:r w:rsidR="00AA0EB1">
        <w:rPr>
          <w:rFonts w:ascii="Trebuchet MS" w:hAnsi="Trebuchet MS"/>
        </w:rPr>
        <w:t>l</w:t>
      </w:r>
      <w:r w:rsidR="00E722C3" w:rsidRPr="00E722C3">
        <w:rPr>
          <w:rFonts w:ascii="Trebuchet MS" w:hAnsi="Trebuchet MS"/>
        </w:rPr>
        <w:t xml:space="preserve">es </w:t>
      </w:r>
      <w:r w:rsidR="00AA0EB1">
        <w:rPr>
          <w:rFonts w:ascii="Trebuchet MS" w:hAnsi="Trebuchet MS"/>
        </w:rPr>
        <w:t xml:space="preserve">ménages dont la situation </w:t>
      </w:r>
      <w:r w:rsidR="00E722C3" w:rsidRPr="00E722C3">
        <w:rPr>
          <w:rFonts w:ascii="Trebuchet MS" w:hAnsi="Trebuchet MS"/>
        </w:rPr>
        <w:t xml:space="preserve">d’activité </w:t>
      </w:r>
      <w:r w:rsidR="00AA0EB1">
        <w:rPr>
          <w:rFonts w:ascii="Trebuchet MS" w:hAnsi="Trebuchet MS"/>
        </w:rPr>
        <w:t>de leur chef est</w:t>
      </w:r>
      <w:r w:rsidR="00E722C3" w:rsidRPr="00E722C3">
        <w:rPr>
          <w:rFonts w:ascii="Trebuchet MS" w:hAnsi="Trebuchet MS"/>
        </w:rPr>
        <w:t xml:space="preserve"> déclaré « Autre » (soit 12,9%), </w:t>
      </w:r>
      <w:r w:rsidR="00AA0EB1">
        <w:rPr>
          <w:rFonts w:ascii="Trebuchet MS" w:hAnsi="Trebuchet MS"/>
        </w:rPr>
        <w:t xml:space="preserve">pour </w:t>
      </w:r>
      <w:r w:rsidR="00E722C3" w:rsidRPr="00E722C3">
        <w:rPr>
          <w:rFonts w:ascii="Trebuchet MS" w:hAnsi="Trebuchet MS"/>
        </w:rPr>
        <w:t>toutes les autres situations d’activité du chef de ménage</w:t>
      </w:r>
      <w:r w:rsidR="00AA0EB1">
        <w:rPr>
          <w:rFonts w:ascii="Trebuchet MS" w:hAnsi="Trebuchet MS"/>
        </w:rPr>
        <w:t>,la proportion de ménages est</w:t>
      </w:r>
      <w:r w:rsidR="00E722C3" w:rsidRPr="00E722C3">
        <w:rPr>
          <w:rFonts w:ascii="Trebuchet MS" w:hAnsi="Trebuchet MS"/>
        </w:rPr>
        <w:t xml:space="preserve"> très faibles (3,5% au plus). La plus faible proportion </w:t>
      </w:r>
      <w:r w:rsidR="00AA0EB1">
        <w:rPr>
          <w:rFonts w:ascii="Trebuchet MS" w:hAnsi="Trebuchet MS"/>
        </w:rPr>
        <w:t xml:space="preserve">de ménages </w:t>
      </w:r>
      <w:r w:rsidR="00E722C3" w:rsidRPr="00E722C3">
        <w:rPr>
          <w:rFonts w:ascii="Trebuchet MS" w:hAnsi="Trebuchet MS"/>
        </w:rPr>
        <w:t xml:space="preserve">selon la situation d’activité </w:t>
      </w:r>
      <w:r w:rsidR="00AA0EB1" w:rsidRPr="00E722C3">
        <w:rPr>
          <w:rFonts w:ascii="Trebuchet MS" w:hAnsi="Trebuchet MS"/>
        </w:rPr>
        <w:t xml:space="preserve">de chefs de ménage </w:t>
      </w:r>
      <w:r w:rsidR="00E722C3" w:rsidRPr="00E722C3">
        <w:rPr>
          <w:rFonts w:ascii="Trebuchet MS" w:hAnsi="Trebuchet MS"/>
        </w:rPr>
        <w:t>se note au niveau des ménages</w:t>
      </w:r>
      <w:r w:rsidR="00AA0EB1">
        <w:rPr>
          <w:rFonts w:ascii="Trebuchet MS" w:hAnsi="Trebuchet MS"/>
        </w:rPr>
        <w:t xml:space="preserve"> dirigés par une personne</w:t>
      </w:r>
      <w:r w:rsidR="00E722C3" w:rsidRPr="00E722C3">
        <w:rPr>
          <w:rFonts w:ascii="Trebuchet MS" w:hAnsi="Trebuchet MS"/>
        </w:rPr>
        <w:t xml:space="preserve"> à la recherche du premier emploi (0,3%) et </w:t>
      </w:r>
      <w:r w:rsidR="00C14CA5" w:rsidRPr="00E722C3">
        <w:rPr>
          <w:rFonts w:ascii="Trebuchet MS" w:hAnsi="Trebuchet MS"/>
        </w:rPr>
        <w:t>au niveau des ménages</w:t>
      </w:r>
      <w:r w:rsidR="00C14CA5">
        <w:rPr>
          <w:rFonts w:ascii="Trebuchet MS" w:hAnsi="Trebuchet MS"/>
        </w:rPr>
        <w:t xml:space="preserve"> dirigés par une personne </w:t>
      </w:r>
      <w:r w:rsidR="00E722C3" w:rsidRPr="00E722C3">
        <w:rPr>
          <w:rFonts w:ascii="Trebuchet MS" w:hAnsi="Trebuchet MS"/>
        </w:rPr>
        <w:t xml:space="preserve">membre d’une coopérative (0,3%). </w:t>
      </w:r>
      <w:r w:rsidR="00C14CA5">
        <w:rPr>
          <w:rFonts w:ascii="Trebuchet MS" w:hAnsi="Trebuchet MS"/>
        </w:rPr>
        <w:t xml:space="preserve">Par ailleurs, </w:t>
      </w:r>
      <w:r w:rsidR="00C14CA5" w:rsidRPr="00E722C3">
        <w:rPr>
          <w:rFonts w:ascii="Trebuchet MS" w:hAnsi="Trebuchet MS"/>
        </w:rPr>
        <w:t>dans l’ensemble</w:t>
      </w:r>
      <w:r w:rsidR="00C14CA5">
        <w:rPr>
          <w:rFonts w:ascii="Trebuchet MS" w:hAnsi="Trebuchet MS"/>
        </w:rPr>
        <w:t xml:space="preserve">,très peu de ménages </w:t>
      </w:r>
      <w:r w:rsidR="00C14CA5" w:rsidRPr="00E722C3">
        <w:rPr>
          <w:rFonts w:ascii="Trebuchet MS" w:hAnsi="Trebuchet MS"/>
        </w:rPr>
        <w:t xml:space="preserve">(0,5%) </w:t>
      </w:r>
      <w:r w:rsidR="00C14CA5">
        <w:rPr>
          <w:rFonts w:ascii="Trebuchet MS" w:hAnsi="Trebuchet MS"/>
        </w:rPr>
        <w:t xml:space="preserve"> sont dirigés par un </w:t>
      </w:r>
      <w:r w:rsidR="00E722C3" w:rsidRPr="00E722C3">
        <w:rPr>
          <w:rFonts w:ascii="Trebuchet MS" w:hAnsi="Trebuchet MS"/>
        </w:rPr>
        <w:t>chômeur</w:t>
      </w:r>
      <w:r w:rsidR="00C14CA5">
        <w:rPr>
          <w:rFonts w:ascii="Trebuchet MS" w:hAnsi="Trebuchet MS"/>
        </w:rPr>
        <w:t xml:space="preserve"> ; la proportion de ménages dirigés par </w:t>
      </w:r>
      <w:r w:rsidR="00E722C3" w:rsidRPr="00E722C3">
        <w:rPr>
          <w:rFonts w:ascii="Trebuchet MS" w:hAnsi="Trebuchet MS"/>
        </w:rPr>
        <w:t xml:space="preserve">des </w:t>
      </w:r>
      <w:r w:rsidR="00C14CA5">
        <w:rPr>
          <w:rFonts w:ascii="Trebuchet MS" w:hAnsi="Trebuchet MS"/>
        </w:rPr>
        <w:t>personnes qui sont</w:t>
      </w:r>
      <w:r w:rsidR="00E722C3" w:rsidRPr="00E722C3">
        <w:rPr>
          <w:rFonts w:ascii="Trebuchet MS" w:hAnsi="Trebuchet MS"/>
        </w:rPr>
        <w:t xml:space="preserve"> apprenti</w:t>
      </w:r>
      <w:r w:rsidR="00C14CA5">
        <w:rPr>
          <w:rFonts w:ascii="Trebuchet MS" w:hAnsi="Trebuchet MS"/>
        </w:rPr>
        <w:t>s</w:t>
      </w:r>
      <w:r w:rsidR="00E722C3" w:rsidRPr="00E722C3">
        <w:rPr>
          <w:rFonts w:ascii="Trebuchet MS" w:hAnsi="Trebuchet MS"/>
        </w:rPr>
        <w:t xml:space="preserve"> ou élève</w:t>
      </w:r>
      <w:r w:rsidR="00C14CA5">
        <w:rPr>
          <w:rFonts w:ascii="Trebuchet MS" w:hAnsi="Trebuchet MS"/>
        </w:rPr>
        <w:t>s</w:t>
      </w:r>
      <w:r w:rsidR="00E722C3" w:rsidRPr="00E722C3">
        <w:rPr>
          <w:rFonts w:ascii="Trebuchet MS" w:hAnsi="Trebuchet MS"/>
        </w:rPr>
        <w:t xml:space="preserve"> ou étudiant</w:t>
      </w:r>
      <w:r w:rsidR="00C14CA5">
        <w:rPr>
          <w:rFonts w:ascii="Trebuchet MS" w:hAnsi="Trebuchet MS"/>
        </w:rPr>
        <w:t>s</w:t>
      </w:r>
      <w:r w:rsidR="00E722C3" w:rsidRPr="00E722C3">
        <w:rPr>
          <w:rFonts w:ascii="Trebuchet MS" w:hAnsi="Trebuchet MS"/>
        </w:rPr>
        <w:t xml:space="preserve"> est</w:t>
      </w:r>
      <w:r w:rsidR="00C14CA5">
        <w:rPr>
          <w:rFonts w:ascii="Trebuchet MS" w:hAnsi="Trebuchet MS"/>
        </w:rPr>
        <w:t xml:space="preserve"> estimée à</w:t>
      </w:r>
      <w:r w:rsidR="00E722C3" w:rsidRPr="00E722C3">
        <w:rPr>
          <w:rFonts w:ascii="Trebuchet MS" w:hAnsi="Trebuchet MS"/>
        </w:rPr>
        <w:t xml:space="preserve"> 2% dans l’ensemble.</w:t>
      </w:r>
    </w:p>
    <w:p w:rsidR="00E722C3" w:rsidRPr="00E722C3" w:rsidRDefault="00E722C3" w:rsidP="00E722C3">
      <w:pPr>
        <w:jc w:val="both"/>
        <w:rPr>
          <w:rFonts w:ascii="Trebuchet MS" w:hAnsi="Trebuchet MS"/>
        </w:rPr>
      </w:pPr>
      <w:r w:rsidRPr="00E722C3">
        <w:rPr>
          <w:rFonts w:ascii="Trebuchet MS" w:hAnsi="Trebuchet MS"/>
        </w:rPr>
        <w:t xml:space="preserve">En ce qui concerne </w:t>
      </w:r>
      <w:r w:rsidR="00C14CA5">
        <w:rPr>
          <w:rFonts w:ascii="Trebuchet MS" w:hAnsi="Trebuchet MS"/>
        </w:rPr>
        <w:t>la situation d’activité selon le département, il apparaît que plus de la moitié des ménage sont dirigés par des personnes qui</w:t>
      </w:r>
      <w:r w:rsidRPr="00E722C3">
        <w:rPr>
          <w:rFonts w:ascii="Trebuchet MS" w:hAnsi="Trebuchet MS"/>
        </w:rPr>
        <w:t xml:space="preserve"> travaillant à leur propre compte</w:t>
      </w:r>
      <w:r w:rsidR="00C14CA5">
        <w:rPr>
          <w:rFonts w:ascii="Trebuchet MS" w:hAnsi="Trebuchet MS"/>
        </w:rPr>
        <w:t xml:space="preserve"> au niveau de tous les départements </w:t>
      </w:r>
      <w:r w:rsidRPr="00E722C3">
        <w:rPr>
          <w:rFonts w:ascii="Trebuchet MS" w:hAnsi="Trebuchet MS"/>
        </w:rPr>
        <w:t xml:space="preserve">sauf dans les départements du Littoralet du Monooù </w:t>
      </w:r>
      <w:r w:rsidR="00C14CA5">
        <w:rPr>
          <w:rFonts w:ascii="Trebuchet MS" w:hAnsi="Trebuchet MS"/>
        </w:rPr>
        <w:t xml:space="preserve">la proportion de ménages dont le chef travaille à son propre compte s’élève à </w:t>
      </w:r>
      <w:r w:rsidRPr="00E722C3">
        <w:rPr>
          <w:rFonts w:ascii="Trebuchet MS" w:hAnsi="Trebuchet MS"/>
        </w:rPr>
        <w:t>42,5% et 46,1%</w:t>
      </w:r>
      <w:r w:rsidR="00C14CA5">
        <w:rPr>
          <w:rFonts w:ascii="Trebuchet MS" w:hAnsi="Trebuchet MS"/>
        </w:rPr>
        <w:t xml:space="preserve"> respectivement</w:t>
      </w:r>
      <w:r w:rsidRPr="00E722C3">
        <w:rPr>
          <w:rFonts w:ascii="Trebuchet MS" w:hAnsi="Trebuchet MS"/>
        </w:rPr>
        <w:t>. Le département de la Donga</w:t>
      </w:r>
      <w:r w:rsidR="00C452CC">
        <w:rPr>
          <w:rFonts w:ascii="Trebuchet MS" w:hAnsi="Trebuchet MS"/>
        </w:rPr>
        <w:t xml:space="preserve"> (</w:t>
      </w:r>
      <w:r w:rsidR="00C452CC" w:rsidRPr="00E722C3">
        <w:rPr>
          <w:rFonts w:ascii="Trebuchet MS" w:hAnsi="Trebuchet MS"/>
        </w:rPr>
        <w:t>82,1%</w:t>
      </w:r>
      <w:r w:rsidR="00C452CC">
        <w:rPr>
          <w:rFonts w:ascii="Trebuchet MS" w:hAnsi="Trebuchet MS"/>
        </w:rPr>
        <w:t>)</w:t>
      </w:r>
      <w:r w:rsidR="00C452CC" w:rsidRPr="00E722C3">
        <w:rPr>
          <w:rFonts w:ascii="Trebuchet MS" w:hAnsi="Trebuchet MS"/>
        </w:rPr>
        <w:t>,</w:t>
      </w:r>
      <w:r w:rsidRPr="00E722C3">
        <w:rPr>
          <w:rFonts w:ascii="Trebuchet MS" w:hAnsi="Trebuchet MS"/>
        </w:rPr>
        <w:t xml:space="preserve"> présente la plus forte proportion de</w:t>
      </w:r>
      <w:r w:rsidR="00C452CC">
        <w:rPr>
          <w:rFonts w:ascii="Trebuchet MS" w:hAnsi="Trebuchet MS"/>
        </w:rPr>
        <w:t xml:space="preserve"> chefs de ménage </w:t>
      </w:r>
      <w:r w:rsidRPr="00E722C3">
        <w:rPr>
          <w:rFonts w:ascii="Trebuchet MS" w:hAnsi="Trebuchet MS"/>
        </w:rPr>
        <w:t xml:space="preserve"> travaillant à leur propre compte suivi des départements du Plateau</w:t>
      </w:r>
      <w:r w:rsidR="00C452CC" w:rsidRPr="00E722C3">
        <w:rPr>
          <w:rFonts w:ascii="Trebuchet MS" w:hAnsi="Trebuchet MS"/>
        </w:rPr>
        <w:t>(76,4%</w:t>
      </w:r>
      <w:r w:rsidR="00C452CC">
        <w:rPr>
          <w:rFonts w:ascii="Trebuchet MS" w:hAnsi="Trebuchet MS"/>
        </w:rPr>
        <w:t>)</w:t>
      </w:r>
      <w:r w:rsidR="00C452CC" w:rsidRPr="00E722C3">
        <w:rPr>
          <w:rFonts w:ascii="Trebuchet MS" w:hAnsi="Trebuchet MS"/>
        </w:rPr>
        <w:t xml:space="preserve"> et</w:t>
      </w:r>
      <w:r w:rsidRPr="00E722C3">
        <w:rPr>
          <w:rFonts w:ascii="Trebuchet MS" w:hAnsi="Trebuchet MS"/>
        </w:rPr>
        <w:t>du Borgou</w:t>
      </w:r>
      <w:r w:rsidR="00C452CC">
        <w:rPr>
          <w:rFonts w:ascii="Trebuchet MS" w:hAnsi="Trebuchet MS"/>
        </w:rPr>
        <w:t>(</w:t>
      </w:r>
      <w:r w:rsidRPr="00E722C3">
        <w:rPr>
          <w:rFonts w:ascii="Trebuchet MS" w:hAnsi="Trebuchet MS"/>
        </w:rPr>
        <w:t xml:space="preserve">72,9%). </w:t>
      </w:r>
      <w:r w:rsidR="00C452CC">
        <w:rPr>
          <w:rFonts w:ascii="Trebuchet MS" w:hAnsi="Trebuchet MS"/>
        </w:rPr>
        <w:t xml:space="preserve">La proportion de salariés permanents </w:t>
      </w:r>
      <w:r w:rsidRPr="00E722C3">
        <w:rPr>
          <w:rFonts w:ascii="Trebuchet MS" w:hAnsi="Trebuchet MS"/>
        </w:rPr>
        <w:t xml:space="preserve">est la plus </w:t>
      </w:r>
      <w:r w:rsidR="00C452CC">
        <w:rPr>
          <w:rFonts w:ascii="Trebuchet MS" w:hAnsi="Trebuchet MS"/>
        </w:rPr>
        <w:t>élevée</w:t>
      </w:r>
      <w:r w:rsidRPr="00E722C3">
        <w:rPr>
          <w:rFonts w:ascii="Trebuchet MS" w:hAnsi="Trebuchet MS"/>
        </w:rPr>
        <w:t xml:space="preserve"> dans le littoral (23%) et dans l’Atlantique (12,7%) et plus faible dans l’Alibori (1</w:t>
      </w:r>
      <w:r w:rsidR="00C452CC">
        <w:rPr>
          <w:rFonts w:ascii="Trebuchet MS" w:hAnsi="Trebuchet MS"/>
        </w:rPr>
        <w:t>,0</w:t>
      </w:r>
      <w:r w:rsidRPr="00E722C3">
        <w:rPr>
          <w:rFonts w:ascii="Trebuchet MS" w:hAnsi="Trebuchet MS"/>
        </w:rPr>
        <w:t xml:space="preserve">%).    </w:t>
      </w:r>
    </w:p>
    <w:p w:rsidR="00B811FE" w:rsidRDefault="00C452CC" w:rsidP="00A7144C">
      <w:pPr>
        <w:jc w:val="both"/>
        <w:rPr>
          <w:rFonts w:ascii="Trebuchet MS" w:hAnsi="Trebuchet MS"/>
        </w:rPr>
      </w:pPr>
      <w:r>
        <w:rPr>
          <w:rFonts w:ascii="Trebuchet MS" w:hAnsi="Trebuchet MS"/>
        </w:rPr>
        <w:t xml:space="preserve">Par ailleurs, par rapport au </w:t>
      </w:r>
      <w:r w:rsidR="00DA1258" w:rsidRPr="00E722C3">
        <w:rPr>
          <w:rFonts w:ascii="Trebuchet MS" w:hAnsi="Trebuchet MS"/>
        </w:rPr>
        <w:t>milieu de résidence</w:t>
      </w:r>
      <w:r>
        <w:rPr>
          <w:rFonts w:ascii="Trebuchet MS" w:hAnsi="Trebuchet MS"/>
        </w:rPr>
        <w:t xml:space="preserve">, </w:t>
      </w:r>
      <w:r w:rsidR="00DA1258" w:rsidRPr="00E722C3">
        <w:rPr>
          <w:rFonts w:ascii="Trebuchet MS" w:hAnsi="Trebuchet MS"/>
        </w:rPr>
        <w:t>aussi bien en milieu urbain qu’en milieu rural, la proportion de chef</w:t>
      </w:r>
      <w:r>
        <w:rPr>
          <w:rFonts w:ascii="Trebuchet MS" w:hAnsi="Trebuchet MS"/>
        </w:rPr>
        <w:t>s</w:t>
      </w:r>
      <w:r w:rsidR="00DA1258" w:rsidRPr="00E722C3">
        <w:rPr>
          <w:rFonts w:ascii="Trebuchet MS" w:hAnsi="Trebuchet MS"/>
        </w:rPr>
        <w:t xml:space="preserve"> de ménage travaillant à </w:t>
      </w:r>
      <w:r>
        <w:rPr>
          <w:rFonts w:ascii="Trebuchet MS" w:hAnsi="Trebuchet MS"/>
        </w:rPr>
        <w:t>leur</w:t>
      </w:r>
      <w:r w:rsidR="00DA1258" w:rsidRPr="00E722C3">
        <w:rPr>
          <w:rFonts w:ascii="Trebuchet MS" w:hAnsi="Trebuchet MS"/>
        </w:rPr>
        <w:t xml:space="preserve"> propre compte est la plus élevée (54% en milieu urbain contre 67,1% en milieu rural)</w:t>
      </w:r>
      <w:r>
        <w:rPr>
          <w:rFonts w:ascii="Trebuchet MS" w:hAnsi="Trebuchet MS"/>
        </w:rPr>
        <w:t xml:space="preserve">. </w:t>
      </w:r>
      <w:r w:rsidR="00DA1258" w:rsidRPr="00E722C3">
        <w:rPr>
          <w:rFonts w:ascii="Trebuchet MS" w:hAnsi="Trebuchet MS"/>
        </w:rPr>
        <w:t>En outre, on remarque que la proportion des chefs de ménage salariés permanents est plus élevée en milieu urbain</w:t>
      </w:r>
      <w:r w:rsidR="00A7144C" w:rsidRPr="00E722C3">
        <w:rPr>
          <w:rFonts w:ascii="Trebuchet MS" w:hAnsi="Trebuchet MS"/>
        </w:rPr>
        <w:t>(</w:t>
      </w:r>
      <w:r w:rsidR="00A7144C">
        <w:rPr>
          <w:rFonts w:ascii="Trebuchet MS" w:hAnsi="Trebuchet MS"/>
        </w:rPr>
        <w:t>11,4%)par rapport au mil</w:t>
      </w:r>
      <w:r w:rsidR="00DA1258" w:rsidRPr="00E722C3">
        <w:rPr>
          <w:rFonts w:ascii="Trebuchet MS" w:hAnsi="Trebuchet MS"/>
        </w:rPr>
        <w:t xml:space="preserve">ieu rural (4,1%). </w:t>
      </w:r>
    </w:p>
    <w:p w:rsidR="00A27F98" w:rsidRPr="00686FF6" w:rsidRDefault="00A27F98" w:rsidP="00A7144C">
      <w:pPr>
        <w:jc w:val="both"/>
        <w:rPr>
          <w:rFonts w:ascii="Trebuchet MS" w:hAnsi="Trebuchet MS"/>
        </w:rPr>
      </w:pPr>
    </w:p>
    <w:p w:rsidR="00B811FE" w:rsidRPr="00686FF6" w:rsidRDefault="00B811FE" w:rsidP="00B811FE">
      <w:pPr>
        <w:rPr>
          <w:rFonts w:ascii="Trebuchet MS" w:hAnsi="Trebuchet MS"/>
        </w:rPr>
        <w:sectPr w:rsidR="00B811FE" w:rsidRPr="00686FF6" w:rsidSect="004C6BF1">
          <w:pgSz w:w="11906" w:h="16838"/>
          <w:pgMar w:top="1385" w:right="1417" w:bottom="1135" w:left="1417" w:header="567" w:footer="0" w:gutter="0"/>
          <w:cols w:space="708"/>
          <w:docGrid w:linePitch="360"/>
        </w:sectPr>
      </w:pPr>
    </w:p>
    <w:p w:rsidR="008670FB" w:rsidRPr="008670FB" w:rsidRDefault="008670FB" w:rsidP="007038ED">
      <w:pPr>
        <w:keepNext/>
        <w:spacing w:after="0"/>
        <w:rPr>
          <w:b/>
        </w:rPr>
      </w:pPr>
      <w:bookmarkStart w:id="114" w:name="_Toc425955989"/>
      <w:bookmarkStart w:id="115" w:name="_Toc426359330"/>
      <w:r w:rsidRPr="008670FB">
        <w:rPr>
          <w:rFonts w:ascii="Trebuchet MS" w:hAnsi="Trebuchet MS"/>
          <w:b/>
          <w:sz w:val="20"/>
        </w:rPr>
        <w:t xml:space="preserve">Tableau </w:t>
      </w:r>
      <w:r w:rsidR="00792500" w:rsidRPr="008670FB">
        <w:rPr>
          <w:rFonts w:ascii="Trebuchet MS" w:hAnsi="Trebuchet MS"/>
          <w:b/>
          <w:sz w:val="20"/>
        </w:rPr>
        <w:fldChar w:fldCharType="begin"/>
      </w:r>
      <w:r w:rsidRPr="008670FB">
        <w:rPr>
          <w:rFonts w:ascii="Trebuchet MS" w:hAnsi="Trebuchet MS"/>
          <w:b/>
          <w:sz w:val="20"/>
        </w:rPr>
        <w:instrText xml:space="preserve"> SEQ Tableau \* ARABIC </w:instrText>
      </w:r>
      <w:r w:rsidR="00792500" w:rsidRPr="008670FB">
        <w:rPr>
          <w:rFonts w:ascii="Trebuchet MS" w:hAnsi="Trebuchet MS"/>
          <w:b/>
          <w:sz w:val="20"/>
        </w:rPr>
        <w:fldChar w:fldCharType="separate"/>
      </w:r>
      <w:r w:rsidR="00556962">
        <w:rPr>
          <w:rFonts w:ascii="Trebuchet MS" w:hAnsi="Trebuchet MS"/>
          <w:b/>
          <w:noProof/>
          <w:sz w:val="20"/>
        </w:rPr>
        <w:t>11</w:t>
      </w:r>
      <w:r w:rsidR="00792500" w:rsidRPr="008670FB">
        <w:rPr>
          <w:rFonts w:ascii="Trebuchet MS" w:hAnsi="Trebuchet MS"/>
          <w:b/>
          <w:sz w:val="20"/>
        </w:rPr>
        <w:fldChar w:fldCharType="end"/>
      </w:r>
      <w:r w:rsidRPr="008670FB">
        <w:rPr>
          <w:rFonts w:ascii="Trebuchet MS" w:hAnsi="Trebuchet MS"/>
          <w:b/>
          <w:color w:val="000000"/>
          <w:sz w:val="20"/>
        </w:rPr>
        <w:t>: Répartition (%) des ménages selon la situation d’activité de leur chef selon le département et le milieu de résidence</w:t>
      </w:r>
      <w:bookmarkEnd w:id="114"/>
      <w:bookmarkEnd w:id="115"/>
    </w:p>
    <w:tbl>
      <w:tblPr>
        <w:tblW w:w="5100"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744"/>
        <w:gridCol w:w="1095"/>
        <w:gridCol w:w="875"/>
        <w:gridCol w:w="975"/>
        <w:gridCol w:w="836"/>
        <w:gridCol w:w="701"/>
        <w:gridCol w:w="1113"/>
        <w:gridCol w:w="1116"/>
        <w:gridCol w:w="1113"/>
        <w:gridCol w:w="1122"/>
        <w:gridCol w:w="1260"/>
        <w:gridCol w:w="839"/>
        <w:gridCol w:w="698"/>
        <w:gridCol w:w="839"/>
        <w:gridCol w:w="713"/>
      </w:tblGrid>
      <w:tr w:rsidR="00A7144C" w:rsidRPr="00CF086A" w:rsidTr="00947248">
        <w:trPr>
          <w:trHeight w:val="185"/>
          <w:tblHeader/>
        </w:trPr>
        <w:tc>
          <w:tcPr>
            <w:tcW w:w="580" w:type="pct"/>
            <w:tcBorders>
              <w:bottom w:val="nil"/>
            </w:tcBorders>
            <w:shd w:val="clear" w:color="auto" w:fill="auto"/>
            <w:noWrap/>
            <w:vAlign w:val="bottom"/>
            <w:hideMark/>
          </w:tcPr>
          <w:p w:rsidR="00A7144C" w:rsidRPr="00686FF6" w:rsidRDefault="00A7144C" w:rsidP="007038ED">
            <w:pPr>
              <w:keepNext/>
              <w:spacing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w:t>
            </w:r>
          </w:p>
        </w:tc>
        <w:tc>
          <w:tcPr>
            <w:tcW w:w="4420" w:type="pct"/>
            <w:gridSpan w:val="14"/>
            <w:tcBorders>
              <w:top w:val="double" w:sz="4" w:space="0" w:color="auto"/>
              <w:bottom w:val="single" w:sz="4" w:space="0" w:color="auto"/>
            </w:tcBorders>
            <w:shd w:val="clear" w:color="auto" w:fill="auto"/>
            <w:vAlign w:val="bottom"/>
            <w:hideMark/>
          </w:tcPr>
          <w:p w:rsidR="00A7144C" w:rsidRPr="00CF086A" w:rsidRDefault="00A7144C" w:rsidP="007038ED">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 de ménage selon leur situation d'activité</w:t>
            </w:r>
          </w:p>
        </w:tc>
      </w:tr>
      <w:tr w:rsidR="00947248" w:rsidRPr="00CF086A" w:rsidTr="00947248">
        <w:trPr>
          <w:trHeight w:val="671"/>
          <w:tblHeader/>
        </w:trPr>
        <w:tc>
          <w:tcPr>
            <w:tcW w:w="580" w:type="pct"/>
            <w:tcBorders>
              <w:top w:val="nil"/>
              <w:bottom w:val="single" w:sz="4" w:space="0" w:color="auto"/>
            </w:tcBorders>
            <w:shd w:val="clear" w:color="auto" w:fill="auto"/>
            <w:noWrap/>
            <w:vAlign w:val="bottom"/>
            <w:hideMark/>
          </w:tcPr>
          <w:p w:rsidR="00A7144C" w:rsidRPr="00CF086A" w:rsidRDefault="00A7144C"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64"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 la recherche du 1er emploi</w:t>
            </w:r>
          </w:p>
        </w:tc>
        <w:tc>
          <w:tcPr>
            <w:tcW w:w="291"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Chômeur</w:t>
            </w:r>
          </w:p>
        </w:tc>
        <w:tc>
          <w:tcPr>
            <w:tcW w:w="324"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Apprenti/Elève/</w:t>
            </w:r>
          </w:p>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Etudiant</w:t>
            </w:r>
          </w:p>
        </w:tc>
        <w:tc>
          <w:tcPr>
            <w:tcW w:w="278"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Retraité</w:t>
            </w:r>
          </w:p>
        </w:tc>
        <w:tc>
          <w:tcPr>
            <w:tcW w:w="233"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Autre inactif</w:t>
            </w:r>
          </w:p>
        </w:tc>
        <w:tc>
          <w:tcPr>
            <w:tcW w:w="370"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Employeur</w:t>
            </w:r>
          </w:p>
        </w:tc>
        <w:tc>
          <w:tcPr>
            <w:tcW w:w="371"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Travailleur à son propre compte</w:t>
            </w:r>
          </w:p>
        </w:tc>
        <w:tc>
          <w:tcPr>
            <w:tcW w:w="370"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Salarié permanent</w:t>
            </w:r>
          </w:p>
        </w:tc>
        <w:tc>
          <w:tcPr>
            <w:tcW w:w="373"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Salarié temporaire</w:t>
            </w:r>
          </w:p>
        </w:tc>
        <w:tc>
          <w:tcPr>
            <w:tcW w:w="419"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Membre d'une coopérative</w:t>
            </w:r>
          </w:p>
        </w:tc>
        <w:tc>
          <w:tcPr>
            <w:tcW w:w="279"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Aide familial</w:t>
            </w:r>
          </w:p>
        </w:tc>
        <w:tc>
          <w:tcPr>
            <w:tcW w:w="232"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Autre</w:t>
            </w:r>
          </w:p>
        </w:tc>
        <w:tc>
          <w:tcPr>
            <w:tcW w:w="279" w:type="pct"/>
            <w:tcBorders>
              <w:top w:val="single" w:sz="4" w:space="0" w:color="auto"/>
              <w:bottom w:val="single" w:sz="4" w:space="0" w:color="auto"/>
              <w:right w:val="nil"/>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Non déclaré</w:t>
            </w:r>
          </w:p>
        </w:tc>
        <w:tc>
          <w:tcPr>
            <w:tcW w:w="237" w:type="pct"/>
            <w:tcBorders>
              <w:top w:val="single" w:sz="4" w:space="0" w:color="auto"/>
              <w:left w:val="nil"/>
              <w:bottom w:val="single" w:sz="4" w:space="0" w:color="auto"/>
            </w:tcBorders>
            <w:shd w:val="clear" w:color="auto" w:fill="auto"/>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p>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Total</w:t>
            </w:r>
          </w:p>
        </w:tc>
      </w:tr>
      <w:tr w:rsidR="00947248" w:rsidRPr="00CF086A" w:rsidTr="00947248">
        <w:trPr>
          <w:trHeight w:val="223"/>
        </w:trPr>
        <w:tc>
          <w:tcPr>
            <w:tcW w:w="580" w:type="pct"/>
            <w:tcBorders>
              <w:top w:val="single" w:sz="4" w:space="0" w:color="auto"/>
            </w:tcBorders>
            <w:shd w:val="clear" w:color="auto" w:fill="auto"/>
            <w:noWrap/>
            <w:vAlign w:val="bottom"/>
            <w:hideMark/>
          </w:tcPr>
          <w:p w:rsidR="00A7144C" w:rsidRPr="008670FB" w:rsidRDefault="00A7144C" w:rsidP="007038ED">
            <w:pPr>
              <w:keepNext/>
              <w:spacing w:after="0" w:line="240" w:lineRule="auto"/>
              <w:rPr>
                <w:rFonts w:ascii="Trebuchet MS" w:hAnsi="Trebuchet MS"/>
                <w:b/>
                <w:color w:val="000000"/>
                <w:sz w:val="20"/>
                <w:szCs w:val="20"/>
              </w:rPr>
            </w:pPr>
            <w:r w:rsidRPr="008670FB">
              <w:rPr>
                <w:rFonts w:ascii="Trebuchet MS" w:hAnsi="Trebuchet MS"/>
                <w:b/>
                <w:color w:val="000000"/>
                <w:sz w:val="20"/>
                <w:szCs w:val="20"/>
              </w:rPr>
              <w:t xml:space="preserve">Département </w:t>
            </w:r>
          </w:p>
        </w:tc>
        <w:tc>
          <w:tcPr>
            <w:tcW w:w="364"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91"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24"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8"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3"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0"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1"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0"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3"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419"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9"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2"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9" w:type="pct"/>
            <w:tcBorders>
              <w:top w:val="single" w:sz="4" w:space="0" w:color="auto"/>
              <w:right w:val="nil"/>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7" w:type="pct"/>
            <w:tcBorders>
              <w:top w:val="single" w:sz="4" w:space="0" w:color="auto"/>
              <w:left w:val="nil"/>
            </w:tcBorders>
            <w:shd w:val="clear" w:color="auto" w:fill="auto"/>
            <w:vAlign w:val="bottom"/>
          </w:tcPr>
          <w:p w:rsidR="00A7144C" w:rsidRPr="00CF086A" w:rsidRDefault="00A7144C" w:rsidP="007038ED">
            <w:pPr>
              <w:keepNext/>
              <w:spacing w:after="0" w:line="240" w:lineRule="auto"/>
              <w:jc w:val="center"/>
              <w:rPr>
                <w:rFonts w:ascii="Trebuchet MS" w:hAnsi="Trebuchet MS"/>
                <w:color w:val="000000"/>
                <w:sz w:val="20"/>
                <w:szCs w:val="20"/>
              </w:rPr>
            </w:pP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ALIBORI</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4,5</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62,1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28,5</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ATACORA</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4,7</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65,7</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9,0</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4,0</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2,9</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ATLANTIQUE</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5,7</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0,6</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69,9</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12,7</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2,9</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BORGOU</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0,6</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72,9</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12,1</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4,6</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COLLINES</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3,5</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49,9</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3,1</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11,5</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21,3</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COUFFO</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0,9</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0,9</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1,9</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1,9</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64,7</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25,6</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DONGA</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82,1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5,2</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1,6</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LITTORAL</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9,1</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4,8</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42,5</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23,0</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4,8</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5,2</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MONO</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1,6</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3,3</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3,9</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46,1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7,8</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28,8</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OUEME</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3,0</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6,3</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1,5</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66,4</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8,8</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1,8</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6,0</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PLATEAU</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5,6</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8,3</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76,4</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4,9</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bottom w:val="nil"/>
            </w:tcBorders>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ZOU</w:t>
            </w:r>
          </w:p>
        </w:tc>
        <w:tc>
          <w:tcPr>
            <w:tcW w:w="364"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291"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324"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78"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6,2</w:t>
            </w:r>
          </w:p>
        </w:tc>
        <w:tc>
          <w:tcPr>
            <w:tcW w:w="233"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7,7</w:t>
            </w:r>
          </w:p>
        </w:tc>
        <w:tc>
          <w:tcPr>
            <w:tcW w:w="370"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71"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54,6</w:t>
            </w:r>
          </w:p>
        </w:tc>
        <w:tc>
          <w:tcPr>
            <w:tcW w:w="370"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7,1</w:t>
            </w:r>
          </w:p>
        </w:tc>
        <w:tc>
          <w:tcPr>
            <w:tcW w:w="373"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419"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0,2</w:t>
            </w:r>
          </w:p>
        </w:tc>
        <w:tc>
          <w:tcPr>
            <w:tcW w:w="279"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2" w:type="pct"/>
            <w:tcBorders>
              <w:bottom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17,8</w:t>
            </w:r>
          </w:p>
        </w:tc>
        <w:tc>
          <w:tcPr>
            <w:tcW w:w="279" w:type="pct"/>
            <w:tcBorders>
              <w:bottom w:val="nil"/>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bottom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top w:val="nil"/>
              <w:bottom w:val="nil"/>
            </w:tcBorders>
            <w:shd w:val="clear" w:color="auto" w:fill="auto"/>
            <w:noWrap/>
            <w:vAlign w:val="bottom"/>
            <w:hideMark/>
          </w:tcPr>
          <w:p w:rsidR="00A7144C" w:rsidRPr="008670FB" w:rsidRDefault="00A7144C" w:rsidP="000D1ABF">
            <w:pPr>
              <w:keepNext/>
              <w:spacing w:beforeLines="40" w:before="96" w:after="0" w:line="240" w:lineRule="auto"/>
              <w:rPr>
                <w:rFonts w:ascii="Trebuchet MS" w:eastAsia="Times New Roman" w:hAnsi="Trebuchet MS"/>
                <w:b/>
                <w:color w:val="000000"/>
                <w:sz w:val="17"/>
                <w:szCs w:val="17"/>
                <w:lang w:eastAsia="fr-FR"/>
              </w:rPr>
            </w:pPr>
            <w:r w:rsidRPr="008670FB">
              <w:rPr>
                <w:rFonts w:ascii="Trebuchet MS" w:eastAsia="Times New Roman" w:hAnsi="Trebuchet MS"/>
                <w:b/>
                <w:color w:val="000000"/>
                <w:sz w:val="17"/>
                <w:szCs w:val="17"/>
                <w:lang w:eastAsia="fr-FR"/>
              </w:rPr>
              <w:t>Milieu de résidence</w:t>
            </w:r>
          </w:p>
        </w:tc>
        <w:tc>
          <w:tcPr>
            <w:tcW w:w="364"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91"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24"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8"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33"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0"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1"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0"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3"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19"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9"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32"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9" w:type="pct"/>
            <w:tcBorders>
              <w:top w:val="nil"/>
              <w:bottom w:val="nil"/>
              <w:right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37" w:type="pct"/>
            <w:tcBorders>
              <w:top w:val="nil"/>
              <w:left w:val="nil"/>
              <w:bottom w:val="nil"/>
            </w:tcBorders>
            <w:shd w:val="clear" w:color="auto" w:fill="auto"/>
            <w:vAlign w:val="center"/>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947248" w:rsidRPr="00CF086A" w:rsidTr="00947248">
        <w:trPr>
          <w:trHeight w:val="223"/>
        </w:trPr>
        <w:tc>
          <w:tcPr>
            <w:tcW w:w="580" w:type="pct"/>
            <w:tcBorders>
              <w:top w:val="nil"/>
            </w:tcBorders>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364"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91"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24"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278"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233"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370"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71"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54,0</w:t>
            </w:r>
          </w:p>
        </w:tc>
        <w:tc>
          <w:tcPr>
            <w:tcW w:w="370"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11,4</w:t>
            </w:r>
          </w:p>
        </w:tc>
        <w:tc>
          <w:tcPr>
            <w:tcW w:w="373"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419"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9"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232" w:type="pct"/>
            <w:tcBorders>
              <w:top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279" w:type="pct"/>
            <w:tcBorders>
              <w:top w:val="nil"/>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37" w:type="pct"/>
            <w:tcBorders>
              <w:top w:val="nil"/>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0D1ABF">
            <w:pPr>
              <w:keepNext/>
              <w:spacing w:beforeLines="40" w:before="96"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36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9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78"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3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71"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67,1</w:t>
            </w:r>
          </w:p>
        </w:tc>
        <w:tc>
          <w:tcPr>
            <w:tcW w:w="370"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373"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41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9"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232" w:type="pct"/>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279" w:type="pct"/>
            <w:tcBorders>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37" w:type="pct"/>
            <w:tcBorders>
              <w:left w:val="nil"/>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top w:val="single" w:sz="4" w:space="0" w:color="auto"/>
              <w:bottom w:val="double" w:sz="4" w:space="0" w:color="auto"/>
            </w:tcBorders>
            <w:shd w:val="clear" w:color="auto" w:fill="auto"/>
            <w:noWrap/>
            <w:vAlign w:val="bottom"/>
            <w:hideMark/>
          </w:tcPr>
          <w:p w:rsidR="00A7144C" w:rsidRPr="00CF086A" w:rsidRDefault="00A7144C" w:rsidP="000D1ABF">
            <w:pPr>
              <w:keepNext/>
              <w:spacing w:beforeLines="40" w:before="96" w:after="0" w:line="240" w:lineRule="auto"/>
              <w:rPr>
                <w:rFonts w:ascii="Trebuchet MS" w:hAnsi="Trebuchet MS"/>
                <w:color w:val="000000"/>
                <w:sz w:val="20"/>
                <w:szCs w:val="20"/>
              </w:rPr>
            </w:pPr>
            <w:r w:rsidRPr="00CF086A">
              <w:rPr>
                <w:rFonts w:ascii="Trebuchet MS" w:hAnsi="Trebuchet MS"/>
                <w:color w:val="000000"/>
                <w:sz w:val="20"/>
                <w:szCs w:val="20"/>
              </w:rPr>
              <w:t>Ensemble</w:t>
            </w:r>
          </w:p>
        </w:tc>
        <w:tc>
          <w:tcPr>
            <w:tcW w:w="364"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324"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78"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4,2</w:t>
            </w:r>
          </w:p>
        </w:tc>
        <w:tc>
          <w:tcPr>
            <w:tcW w:w="233"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3,0</w:t>
            </w:r>
          </w:p>
        </w:tc>
        <w:tc>
          <w:tcPr>
            <w:tcW w:w="370"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61,7</w:t>
            </w:r>
          </w:p>
        </w:tc>
        <w:tc>
          <w:tcPr>
            <w:tcW w:w="370"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7,1</w:t>
            </w:r>
          </w:p>
        </w:tc>
        <w:tc>
          <w:tcPr>
            <w:tcW w:w="373"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3,5</w:t>
            </w:r>
          </w:p>
        </w:tc>
        <w:tc>
          <w:tcPr>
            <w:tcW w:w="232" w:type="pct"/>
            <w:tcBorders>
              <w:top w:val="single" w:sz="4" w:space="0" w:color="auto"/>
              <w:bottom w:val="double" w:sz="4" w:space="0" w:color="auto"/>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12,9</w:t>
            </w:r>
          </w:p>
        </w:tc>
        <w:tc>
          <w:tcPr>
            <w:tcW w:w="279" w:type="pct"/>
            <w:tcBorders>
              <w:top w:val="single" w:sz="4" w:space="0" w:color="auto"/>
              <w:bottom w:val="double" w:sz="4" w:space="0" w:color="auto"/>
              <w:right w:val="nil"/>
            </w:tcBorders>
            <w:shd w:val="clear" w:color="auto" w:fill="auto"/>
            <w:noWrap/>
            <w:vAlign w:val="center"/>
            <w:hideMark/>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7" w:type="pct"/>
            <w:tcBorders>
              <w:top w:val="single" w:sz="4" w:space="0" w:color="auto"/>
              <w:left w:val="nil"/>
              <w:bottom w:val="double" w:sz="4" w:space="0" w:color="auto"/>
            </w:tcBorders>
            <w:shd w:val="clear" w:color="auto" w:fill="auto"/>
            <w:vAlign w:val="center"/>
          </w:tcPr>
          <w:p w:rsidR="007843E6" w:rsidRDefault="00A7144C" w:rsidP="000D1ABF">
            <w:pPr>
              <w:keepNext/>
              <w:spacing w:beforeLines="40" w:before="96"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A7144C" w:rsidRPr="00C247B4" w:rsidTr="00947248">
        <w:trPr>
          <w:trHeight w:val="177"/>
        </w:trPr>
        <w:tc>
          <w:tcPr>
            <w:tcW w:w="5000" w:type="pct"/>
            <w:gridSpan w:val="15"/>
            <w:tcBorders>
              <w:top w:val="double" w:sz="4" w:space="0" w:color="auto"/>
              <w:bottom w:val="nil"/>
            </w:tcBorders>
            <w:shd w:val="clear" w:color="auto" w:fill="auto"/>
            <w:noWrap/>
            <w:vAlign w:val="bottom"/>
            <w:hideMark/>
          </w:tcPr>
          <w:p w:rsidR="00A7144C" w:rsidRPr="00947248" w:rsidRDefault="00A7144C" w:rsidP="007038ED">
            <w:pPr>
              <w:keepNext/>
              <w:spacing w:after="0" w:line="240" w:lineRule="auto"/>
              <w:rPr>
                <w:rFonts w:ascii="Trebuchet MS" w:eastAsia="Times New Roman" w:hAnsi="Trebuchet MS" w:cs="Arial"/>
                <w:b/>
                <w:color w:val="000000"/>
                <w:sz w:val="20"/>
                <w:szCs w:val="20"/>
                <w:lang w:eastAsia="fr-FR"/>
              </w:rPr>
            </w:pPr>
            <w:r w:rsidRPr="00947248">
              <w:rPr>
                <w:rFonts w:ascii="Trebuchet MS" w:hAnsi="Trebuchet MS" w:cs="Arial"/>
                <w:b/>
                <w:bCs/>
                <w:color w:val="000000"/>
                <w:sz w:val="20"/>
              </w:rPr>
              <w:t>Source : ECEB, INSAE, 2015</w:t>
            </w:r>
          </w:p>
        </w:tc>
      </w:tr>
    </w:tbl>
    <w:p w:rsidR="00E722C3" w:rsidRDefault="00E722C3" w:rsidP="00B811FE">
      <w:pPr>
        <w:rPr>
          <w:rFonts w:ascii="Trebuchet MS" w:hAnsi="Trebuchet MS"/>
        </w:rPr>
        <w:sectPr w:rsidR="00E722C3" w:rsidSect="00CF086A">
          <w:pgSz w:w="16838" w:h="11906" w:orient="landscape"/>
          <w:pgMar w:top="1418" w:right="1383" w:bottom="1418" w:left="851" w:header="567" w:footer="0" w:gutter="0"/>
          <w:cols w:space="708"/>
          <w:docGrid w:linePitch="360"/>
        </w:sectPr>
      </w:pPr>
    </w:p>
    <w:p w:rsidR="001111C2" w:rsidRPr="00F57BAA" w:rsidRDefault="001111C2" w:rsidP="00F03E08">
      <w:pPr>
        <w:pStyle w:val="Titre4"/>
        <w:numPr>
          <w:ilvl w:val="2"/>
          <w:numId w:val="6"/>
        </w:numPr>
      </w:pPr>
      <w:bookmarkStart w:id="116" w:name="_Toc425961643"/>
      <w:bookmarkStart w:id="117" w:name="_Toc426359437"/>
      <w:r w:rsidRPr="00F57BAA">
        <w:t xml:space="preserve">Structure des ménages </w:t>
      </w:r>
      <w:r>
        <w:t>selon la situation d’activité de leur chef suivant leur sexe, leur groupe d’âge et leur niveau d’instruction</w:t>
      </w:r>
      <w:bookmarkEnd w:id="116"/>
      <w:bookmarkEnd w:id="117"/>
    </w:p>
    <w:p w:rsidR="00E722C3" w:rsidRPr="00E722C3" w:rsidRDefault="001111C2" w:rsidP="00E722C3">
      <w:pPr>
        <w:jc w:val="both"/>
        <w:rPr>
          <w:rFonts w:ascii="Trebuchet MS" w:hAnsi="Trebuchet MS"/>
        </w:rPr>
      </w:pPr>
      <w:r>
        <w:rPr>
          <w:rFonts w:ascii="Trebuchet MS" w:hAnsi="Trebuchet MS"/>
        </w:rPr>
        <w:t xml:space="preserve">L’analyse du tableau ci-après révèle que </w:t>
      </w:r>
      <w:r w:rsidR="00E722C3" w:rsidRPr="00E722C3">
        <w:rPr>
          <w:rFonts w:ascii="Trebuchet MS" w:hAnsi="Trebuchet MS"/>
        </w:rPr>
        <w:t xml:space="preserve">les </w:t>
      </w:r>
      <w:r>
        <w:rPr>
          <w:rFonts w:ascii="Trebuchet MS" w:hAnsi="Trebuchet MS"/>
        </w:rPr>
        <w:t xml:space="preserve">chefs de ménage </w:t>
      </w:r>
      <w:r w:rsidR="00E722C3" w:rsidRPr="00E722C3">
        <w:rPr>
          <w:rFonts w:ascii="Trebuchet MS" w:hAnsi="Trebuchet MS"/>
        </w:rPr>
        <w:t>hommes comme femmes sont essentiellement des travailleurs à leur propre compte (soit 62,1% chez les hommes contre 60,1% chez les femmes).</w:t>
      </w:r>
      <w:r>
        <w:rPr>
          <w:rFonts w:ascii="Trebuchet MS" w:hAnsi="Trebuchet MS"/>
        </w:rPr>
        <w:t xml:space="preserve"> L</w:t>
      </w:r>
      <w:r w:rsidR="00E722C3" w:rsidRPr="00E722C3">
        <w:rPr>
          <w:rFonts w:ascii="Trebuchet MS" w:hAnsi="Trebuchet MS"/>
        </w:rPr>
        <w:t xml:space="preserve">a proportion des </w:t>
      </w:r>
      <w:r w:rsidR="0047121A">
        <w:rPr>
          <w:rFonts w:ascii="Trebuchet MS" w:hAnsi="Trebuchet MS"/>
        </w:rPr>
        <w:t xml:space="preserve">chefs de ménage </w:t>
      </w:r>
      <w:r w:rsidR="0047121A" w:rsidRPr="00E722C3">
        <w:rPr>
          <w:rFonts w:ascii="Trebuchet MS" w:hAnsi="Trebuchet MS"/>
        </w:rPr>
        <w:t xml:space="preserve">salariés permanents </w:t>
      </w:r>
      <w:r w:rsidR="00E722C3" w:rsidRPr="00E722C3">
        <w:rPr>
          <w:rFonts w:ascii="Trebuchet MS" w:hAnsi="Trebuchet MS"/>
        </w:rPr>
        <w:t xml:space="preserve">est trois fois plus élevée </w:t>
      </w:r>
      <w:r w:rsidR="0047121A">
        <w:rPr>
          <w:rFonts w:ascii="Trebuchet MS" w:hAnsi="Trebuchet MS"/>
        </w:rPr>
        <w:t xml:space="preserve">pour les </w:t>
      </w:r>
      <w:r w:rsidR="0047121A" w:rsidRPr="00E722C3">
        <w:rPr>
          <w:rFonts w:ascii="Trebuchet MS" w:hAnsi="Trebuchet MS"/>
        </w:rPr>
        <w:t>hommes(8,7%</w:t>
      </w:r>
      <w:r w:rsidR="0047121A">
        <w:rPr>
          <w:rFonts w:ascii="Trebuchet MS" w:hAnsi="Trebuchet MS"/>
        </w:rPr>
        <w:t>)comparativement aux</w:t>
      </w:r>
      <w:r w:rsidR="00E722C3" w:rsidRPr="00E722C3">
        <w:rPr>
          <w:rFonts w:ascii="Trebuchet MS" w:hAnsi="Trebuchet MS"/>
        </w:rPr>
        <w:t xml:space="preserve"> femmes </w:t>
      </w:r>
      <w:r w:rsidR="0047121A">
        <w:rPr>
          <w:rFonts w:ascii="Trebuchet MS" w:hAnsi="Trebuchet MS"/>
        </w:rPr>
        <w:t>(</w:t>
      </w:r>
      <w:r w:rsidR="00A27F98">
        <w:rPr>
          <w:rFonts w:ascii="Trebuchet MS" w:hAnsi="Trebuchet MS"/>
        </w:rPr>
        <w:t xml:space="preserve">2,5%). </w:t>
      </w:r>
    </w:p>
    <w:p w:rsidR="00B811FE" w:rsidRPr="00E722C3" w:rsidRDefault="00E722C3" w:rsidP="00E722C3">
      <w:pPr>
        <w:jc w:val="both"/>
        <w:rPr>
          <w:rFonts w:ascii="Trebuchet MS" w:hAnsi="Trebuchet MS"/>
        </w:rPr>
      </w:pPr>
      <w:r w:rsidRPr="00E722C3">
        <w:rPr>
          <w:rFonts w:ascii="Trebuchet MS" w:hAnsi="Trebuchet MS"/>
        </w:rPr>
        <w:t>En ce qui concerne les groupes d’âges, on note que pour les chefs de ménages chômeurs, les proportions décroissent des générations les plus jeunes vers les plus vieilles générations. Ce taux est de 5,6% pour les chefs âgés de moins de 20 ans, 1,6% pour la tranche 20-29 ans et 0,2% pour la tranche 50-59 ans.</w:t>
      </w:r>
      <w:r w:rsidR="0047121A">
        <w:rPr>
          <w:rFonts w:ascii="Trebuchet MS" w:hAnsi="Trebuchet MS"/>
        </w:rPr>
        <w:t xml:space="preserve"> Par ailleurs, o</w:t>
      </w:r>
      <w:r w:rsidRPr="00E722C3">
        <w:rPr>
          <w:rFonts w:ascii="Trebuchet MS" w:hAnsi="Trebuchet MS"/>
        </w:rPr>
        <w:t xml:space="preserve">n note </w:t>
      </w:r>
      <w:r w:rsidR="0047121A">
        <w:rPr>
          <w:rFonts w:ascii="Trebuchet MS" w:hAnsi="Trebuchet MS"/>
        </w:rPr>
        <w:t>pour les tranches d’</w:t>
      </w:r>
      <w:r w:rsidR="0047121A" w:rsidRPr="00E722C3">
        <w:rPr>
          <w:rFonts w:ascii="Trebuchet MS" w:hAnsi="Trebuchet MS"/>
        </w:rPr>
        <w:t>un âge compris entre 20 et 69 ans</w:t>
      </w:r>
      <w:r w:rsidR="0047121A">
        <w:rPr>
          <w:rFonts w:ascii="Trebuchet MS" w:hAnsi="Trebuchet MS"/>
        </w:rPr>
        <w:t>,</w:t>
      </w:r>
      <w:r w:rsidRPr="00E722C3">
        <w:rPr>
          <w:rFonts w:ascii="Trebuchet MS" w:hAnsi="Trebuchet MS"/>
        </w:rPr>
        <w:t>plus d’un</w:t>
      </w:r>
      <w:r w:rsidR="0047121A">
        <w:rPr>
          <w:rFonts w:ascii="Trebuchet MS" w:hAnsi="Trebuchet MS"/>
        </w:rPr>
        <w:t xml:space="preserve"> (1)</w:t>
      </w:r>
      <w:r w:rsidRPr="00E722C3">
        <w:rPr>
          <w:rFonts w:ascii="Trebuchet MS" w:hAnsi="Trebuchet MS"/>
        </w:rPr>
        <w:t xml:space="preserve"> chef de ménage sur deux </w:t>
      </w:r>
      <w:r w:rsidR="0047121A">
        <w:rPr>
          <w:rFonts w:ascii="Trebuchet MS" w:hAnsi="Trebuchet MS"/>
        </w:rPr>
        <w:t>(2) travaille</w:t>
      </w:r>
      <w:r w:rsidRPr="00E722C3">
        <w:rPr>
          <w:rFonts w:ascii="Trebuchet MS" w:hAnsi="Trebuchet MS"/>
        </w:rPr>
        <w:t xml:space="preserve"> à </w:t>
      </w:r>
      <w:r w:rsidR="0047121A">
        <w:rPr>
          <w:rFonts w:ascii="Trebuchet MS" w:hAnsi="Trebuchet MS"/>
        </w:rPr>
        <w:t>son</w:t>
      </w:r>
      <w:r w:rsidRPr="00E722C3">
        <w:rPr>
          <w:rFonts w:ascii="Trebuchet MS" w:hAnsi="Trebuchet MS"/>
        </w:rPr>
        <w:t xml:space="preserve"> propre compte.</w:t>
      </w:r>
    </w:p>
    <w:p w:rsidR="00B811FE" w:rsidRPr="00E722C3" w:rsidRDefault="0047121A" w:rsidP="00E722C3">
      <w:pPr>
        <w:jc w:val="both"/>
        <w:rPr>
          <w:rFonts w:ascii="Trebuchet MS" w:hAnsi="Trebuchet MS"/>
        </w:rPr>
      </w:pPr>
      <w:r>
        <w:rPr>
          <w:rFonts w:ascii="Trebuchet MS" w:hAnsi="Trebuchet MS"/>
        </w:rPr>
        <w:t xml:space="preserve">Par rapport au </w:t>
      </w:r>
      <w:r w:rsidR="00E722C3" w:rsidRPr="00E722C3">
        <w:rPr>
          <w:rFonts w:ascii="Trebuchet MS" w:hAnsi="Trebuchet MS"/>
        </w:rPr>
        <w:t xml:space="preserve">niveau d’instruction, l’analyse des résultats montre </w:t>
      </w:r>
      <w:r w:rsidR="00D7178E">
        <w:rPr>
          <w:rFonts w:ascii="Trebuchet MS" w:hAnsi="Trebuchet MS"/>
        </w:rPr>
        <w:t xml:space="preserve">que </w:t>
      </w:r>
      <w:r w:rsidR="00DF66A7">
        <w:rPr>
          <w:rFonts w:ascii="Trebuchet MS" w:hAnsi="Trebuchet MS"/>
        </w:rPr>
        <w:t>l</w:t>
      </w:r>
      <w:r w:rsidR="00E722C3" w:rsidRPr="00E722C3">
        <w:rPr>
          <w:rFonts w:ascii="Trebuchet MS" w:hAnsi="Trebuchet MS"/>
        </w:rPr>
        <w:t xml:space="preserve">a plupart des chefs de ménage </w:t>
      </w:r>
      <w:r w:rsidR="00DF66A7">
        <w:rPr>
          <w:rFonts w:ascii="Trebuchet MS" w:hAnsi="Trebuchet MS"/>
        </w:rPr>
        <w:t xml:space="preserve">ayant </w:t>
      </w:r>
      <w:r w:rsidR="00E722C3" w:rsidRPr="00E722C3">
        <w:rPr>
          <w:rFonts w:ascii="Trebuchet MS" w:hAnsi="Trebuchet MS"/>
        </w:rPr>
        <w:t>le niveau maternel</w:t>
      </w:r>
      <w:r w:rsidR="00DF66A7" w:rsidRPr="00E722C3">
        <w:rPr>
          <w:rFonts w:ascii="Trebuchet MS" w:hAnsi="Trebuchet MS"/>
        </w:rPr>
        <w:t>travaill</w:t>
      </w:r>
      <w:r w:rsidR="00DF66A7">
        <w:rPr>
          <w:rFonts w:ascii="Trebuchet MS" w:hAnsi="Trebuchet MS"/>
        </w:rPr>
        <w:t>e</w:t>
      </w:r>
      <w:r w:rsidR="00DF66A7" w:rsidRPr="00E722C3">
        <w:rPr>
          <w:rFonts w:ascii="Trebuchet MS" w:hAnsi="Trebuchet MS"/>
        </w:rPr>
        <w:t xml:space="preserve">nt </w:t>
      </w:r>
      <w:r w:rsidR="00DF66A7">
        <w:rPr>
          <w:rFonts w:ascii="Trebuchet MS" w:hAnsi="Trebuchet MS"/>
        </w:rPr>
        <w:t xml:space="preserve">à leur propre compte (69,3%) et </w:t>
      </w:r>
      <w:r w:rsidR="00DF66A7" w:rsidRPr="00E722C3">
        <w:rPr>
          <w:rFonts w:ascii="Trebuchet MS" w:hAnsi="Trebuchet MS"/>
        </w:rPr>
        <w:t>comme aide familiale (1</w:t>
      </w:r>
      <w:r w:rsidR="00DF66A7">
        <w:rPr>
          <w:rFonts w:ascii="Trebuchet MS" w:hAnsi="Trebuchet MS"/>
        </w:rPr>
        <w:t>5,9</w:t>
      </w:r>
      <w:r w:rsidR="00DF66A7" w:rsidRPr="00E722C3">
        <w:rPr>
          <w:rFonts w:ascii="Trebuchet MS" w:hAnsi="Trebuchet MS"/>
        </w:rPr>
        <w:t>%)</w:t>
      </w:r>
      <w:r w:rsidR="00E722C3" w:rsidRPr="00E722C3">
        <w:rPr>
          <w:rFonts w:ascii="Trebuchet MS" w:hAnsi="Trebuchet MS"/>
        </w:rPr>
        <w:t xml:space="preserve">. </w:t>
      </w:r>
      <w:r w:rsidR="005B3A7B">
        <w:rPr>
          <w:rFonts w:ascii="Trebuchet MS" w:hAnsi="Trebuchet MS"/>
        </w:rPr>
        <w:t>P</w:t>
      </w:r>
      <w:r w:rsidR="005B3A7B" w:rsidRPr="00E722C3">
        <w:rPr>
          <w:rFonts w:ascii="Trebuchet MS" w:hAnsi="Trebuchet MS"/>
        </w:rPr>
        <w:t xml:space="preserve">our ce qui est des chefs </w:t>
      </w:r>
      <w:r w:rsidR="005B3A7B">
        <w:rPr>
          <w:rFonts w:ascii="Trebuchet MS" w:hAnsi="Trebuchet MS"/>
        </w:rPr>
        <w:t xml:space="preserve">qui </w:t>
      </w:r>
      <w:r w:rsidR="005B3A7B" w:rsidRPr="00E722C3">
        <w:rPr>
          <w:rFonts w:ascii="Trebuchet MS" w:hAnsi="Trebuchet MS"/>
        </w:rPr>
        <w:t>n’ont aucun niveau</w:t>
      </w:r>
      <w:r w:rsidR="005B3A7B">
        <w:rPr>
          <w:rFonts w:ascii="Trebuchet MS" w:hAnsi="Trebuchet MS"/>
        </w:rPr>
        <w:t xml:space="preserve">, </w:t>
      </w:r>
      <w:r w:rsidR="005B3A7B" w:rsidRPr="00E722C3">
        <w:rPr>
          <w:rFonts w:ascii="Trebuchet MS" w:hAnsi="Trebuchet MS"/>
        </w:rPr>
        <w:t>70,7% travaill</w:t>
      </w:r>
      <w:r w:rsidR="005B3A7B">
        <w:rPr>
          <w:rFonts w:ascii="Trebuchet MS" w:hAnsi="Trebuchet MS"/>
        </w:rPr>
        <w:t>e</w:t>
      </w:r>
      <w:r w:rsidR="005B3A7B" w:rsidRPr="00E722C3">
        <w:rPr>
          <w:rFonts w:ascii="Trebuchet MS" w:hAnsi="Trebuchet MS"/>
        </w:rPr>
        <w:t xml:space="preserve">nt à </w:t>
      </w:r>
      <w:r w:rsidR="005B3A7B">
        <w:rPr>
          <w:rFonts w:ascii="Trebuchet MS" w:hAnsi="Trebuchet MS"/>
        </w:rPr>
        <w:t>leur propre compte. Par ailleurs, plus de la moitié des chefs de ménage ayant</w:t>
      </w:r>
      <w:r w:rsidR="005B3A7B" w:rsidRPr="00E722C3">
        <w:rPr>
          <w:rFonts w:ascii="Trebuchet MS" w:hAnsi="Trebuchet MS"/>
        </w:rPr>
        <w:t xml:space="preserve"> le niveau primaire</w:t>
      </w:r>
      <w:r w:rsidR="005B3A7B">
        <w:rPr>
          <w:rFonts w:ascii="Trebuchet MS" w:hAnsi="Trebuchet MS"/>
        </w:rPr>
        <w:t xml:space="preserve"> (67,4%)et</w:t>
      </w:r>
      <w:r w:rsidR="005B3A7B" w:rsidRPr="00E722C3">
        <w:rPr>
          <w:rFonts w:ascii="Trebuchet MS" w:hAnsi="Trebuchet MS"/>
        </w:rPr>
        <w:t xml:space="preserve"> le niveau secondaire 1</w:t>
      </w:r>
      <w:r w:rsidR="005B3A7B">
        <w:rPr>
          <w:rFonts w:ascii="Trebuchet MS" w:hAnsi="Trebuchet MS"/>
        </w:rPr>
        <w:t xml:space="preserve"> (</w:t>
      </w:r>
      <w:r w:rsidR="005B3A7B" w:rsidRPr="00E722C3">
        <w:rPr>
          <w:rFonts w:ascii="Trebuchet MS" w:hAnsi="Trebuchet MS"/>
        </w:rPr>
        <w:t>55</w:t>
      </w:r>
      <w:r w:rsidR="005B3A7B">
        <w:rPr>
          <w:rFonts w:ascii="Trebuchet MS" w:hAnsi="Trebuchet MS"/>
        </w:rPr>
        <w:t>,1</w:t>
      </w:r>
      <w:r w:rsidR="005B3A7B" w:rsidRPr="00E722C3">
        <w:rPr>
          <w:rFonts w:ascii="Trebuchet MS" w:hAnsi="Trebuchet MS"/>
        </w:rPr>
        <w:t>%</w:t>
      </w:r>
      <w:r w:rsidR="005B3A7B">
        <w:rPr>
          <w:rFonts w:ascii="Trebuchet MS" w:hAnsi="Trebuchet MS"/>
        </w:rPr>
        <w:t xml:space="preserve">) travaillent à leur propre compte. </w:t>
      </w:r>
      <w:r w:rsidR="00E722C3" w:rsidRPr="00E722C3">
        <w:rPr>
          <w:rFonts w:ascii="Trebuchet MS" w:hAnsi="Trebuchet MS"/>
        </w:rPr>
        <w:t xml:space="preserve">Quant aux </w:t>
      </w:r>
      <w:r w:rsidR="00D7178E">
        <w:rPr>
          <w:rFonts w:ascii="Trebuchet MS" w:hAnsi="Trebuchet MS"/>
        </w:rPr>
        <w:t xml:space="preserve">chefs de ménages ayant </w:t>
      </w:r>
      <w:r w:rsidR="00E722C3" w:rsidRPr="00E722C3">
        <w:rPr>
          <w:rFonts w:ascii="Trebuchet MS" w:hAnsi="Trebuchet MS"/>
        </w:rPr>
        <w:t>le niveau supérieur</w:t>
      </w:r>
      <w:r w:rsidR="00D7178E">
        <w:rPr>
          <w:rFonts w:ascii="Trebuchet MS" w:hAnsi="Trebuchet MS"/>
        </w:rPr>
        <w:t xml:space="preserve">, la proportion des ménages est estimée à 39,9%pour ceux qui sont </w:t>
      </w:r>
      <w:r w:rsidR="00D7178E" w:rsidRPr="00E722C3">
        <w:rPr>
          <w:rFonts w:ascii="Trebuchet MS" w:hAnsi="Trebuchet MS"/>
        </w:rPr>
        <w:t>salariés permanents</w:t>
      </w:r>
      <w:r w:rsidR="00D7178E">
        <w:rPr>
          <w:rFonts w:ascii="Trebuchet MS" w:hAnsi="Trebuchet MS"/>
        </w:rPr>
        <w:t xml:space="preserve"> contre 16,7% pour les retraités et 15,4% pour ceux qui travaillent à leur propre compte.</w:t>
      </w:r>
    </w:p>
    <w:p w:rsidR="00E722C3" w:rsidRDefault="00E722C3" w:rsidP="00B811FE">
      <w:pPr>
        <w:rPr>
          <w:rFonts w:ascii="Trebuchet MS" w:hAnsi="Trebuchet MS"/>
        </w:rPr>
      </w:pPr>
    </w:p>
    <w:p w:rsidR="00E722C3" w:rsidRDefault="00E722C3" w:rsidP="00B811FE">
      <w:pPr>
        <w:rPr>
          <w:rFonts w:ascii="Trebuchet MS" w:hAnsi="Trebuchet MS"/>
        </w:rPr>
      </w:pPr>
    </w:p>
    <w:p w:rsidR="00E722C3" w:rsidRDefault="00E722C3" w:rsidP="00B811FE">
      <w:pPr>
        <w:rPr>
          <w:rFonts w:ascii="Trebuchet MS" w:hAnsi="Trebuchet MS"/>
        </w:rPr>
        <w:sectPr w:rsidR="00E722C3" w:rsidSect="00E722C3">
          <w:pgSz w:w="11906" w:h="16838"/>
          <w:pgMar w:top="1383" w:right="1418" w:bottom="851" w:left="1418" w:header="567" w:footer="0" w:gutter="0"/>
          <w:cols w:space="708"/>
          <w:docGrid w:linePitch="360"/>
        </w:sectPr>
      </w:pPr>
    </w:p>
    <w:p w:rsidR="00947248" w:rsidRPr="00947248" w:rsidRDefault="00947248" w:rsidP="007038ED">
      <w:pPr>
        <w:keepNext/>
        <w:spacing w:after="0"/>
        <w:rPr>
          <w:b/>
        </w:rPr>
      </w:pPr>
      <w:bookmarkStart w:id="118" w:name="_Toc425955990"/>
      <w:bookmarkStart w:id="119" w:name="_Toc426359331"/>
      <w:r w:rsidRPr="00947248">
        <w:rPr>
          <w:rFonts w:ascii="Trebuchet MS" w:hAnsi="Trebuchet MS"/>
          <w:b/>
          <w:sz w:val="20"/>
        </w:rPr>
        <w:t xml:space="preserve">Tableau </w:t>
      </w:r>
      <w:r w:rsidR="00792500" w:rsidRPr="00947248">
        <w:rPr>
          <w:rFonts w:ascii="Trebuchet MS" w:hAnsi="Trebuchet MS"/>
          <w:b/>
          <w:sz w:val="20"/>
        </w:rPr>
        <w:fldChar w:fldCharType="begin"/>
      </w:r>
      <w:r w:rsidRPr="00947248">
        <w:rPr>
          <w:rFonts w:ascii="Trebuchet MS" w:hAnsi="Trebuchet MS"/>
          <w:b/>
          <w:sz w:val="20"/>
        </w:rPr>
        <w:instrText xml:space="preserve"> SEQ Tableau \* ARABIC </w:instrText>
      </w:r>
      <w:r w:rsidR="00792500" w:rsidRPr="00947248">
        <w:rPr>
          <w:rFonts w:ascii="Trebuchet MS" w:hAnsi="Trebuchet MS"/>
          <w:b/>
          <w:sz w:val="20"/>
        </w:rPr>
        <w:fldChar w:fldCharType="separate"/>
      </w:r>
      <w:r w:rsidR="00556962">
        <w:rPr>
          <w:rFonts w:ascii="Trebuchet MS" w:hAnsi="Trebuchet MS"/>
          <w:b/>
          <w:noProof/>
          <w:sz w:val="20"/>
        </w:rPr>
        <w:t>12</w:t>
      </w:r>
      <w:r w:rsidR="00792500" w:rsidRPr="00947248">
        <w:rPr>
          <w:rFonts w:ascii="Trebuchet MS" w:hAnsi="Trebuchet MS"/>
          <w:b/>
          <w:sz w:val="20"/>
        </w:rPr>
        <w:fldChar w:fldCharType="end"/>
      </w:r>
      <w:r w:rsidRPr="00947248">
        <w:rPr>
          <w:rFonts w:ascii="Trebuchet MS" w:hAnsi="Trebuchet MS"/>
          <w:b/>
          <w:color w:val="000000"/>
          <w:sz w:val="20"/>
        </w:rPr>
        <w:t>: Répartition (%) des ménages selon la situation d’activité de leur chef selon le département et le milieu de résidence</w:t>
      </w:r>
      <w:bookmarkEnd w:id="118"/>
      <w:bookmarkEnd w:id="119"/>
    </w:p>
    <w:tbl>
      <w:tblPr>
        <w:tblW w:w="5154"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039"/>
        <w:gridCol w:w="990"/>
        <w:gridCol w:w="985"/>
        <w:gridCol w:w="982"/>
        <w:gridCol w:w="845"/>
        <w:gridCol w:w="705"/>
        <w:gridCol w:w="1122"/>
        <w:gridCol w:w="1122"/>
        <w:gridCol w:w="1122"/>
        <w:gridCol w:w="1122"/>
        <w:gridCol w:w="1122"/>
        <w:gridCol w:w="845"/>
        <w:gridCol w:w="632"/>
        <w:gridCol w:w="848"/>
        <w:gridCol w:w="717"/>
      </w:tblGrid>
      <w:tr w:rsidR="00BE0F7A" w:rsidRPr="00CF086A" w:rsidTr="00947248">
        <w:trPr>
          <w:trHeight w:val="220"/>
          <w:tblHeader/>
        </w:trPr>
        <w:tc>
          <w:tcPr>
            <w:tcW w:w="671" w:type="pct"/>
            <w:tcBorders>
              <w:bottom w:val="nil"/>
            </w:tcBorders>
            <w:shd w:val="clear" w:color="auto" w:fill="auto"/>
            <w:noWrap/>
            <w:vAlign w:val="bottom"/>
            <w:hideMark/>
          </w:tcPr>
          <w:p w:rsidR="00B811FE" w:rsidRPr="00CF086A" w:rsidRDefault="00B811FE"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4329" w:type="pct"/>
            <w:gridSpan w:val="14"/>
            <w:tcBorders>
              <w:top w:val="double" w:sz="4" w:space="0" w:color="auto"/>
              <w:bottom w:val="single" w:sz="4" w:space="0" w:color="auto"/>
            </w:tcBorders>
            <w:shd w:val="clear" w:color="auto" w:fill="auto"/>
            <w:vAlign w:val="bottom"/>
            <w:hideMark/>
          </w:tcPr>
          <w:p w:rsidR="00B811FE" w:rsidRPr="00CF086A" w:rsidRDefault="00B811FE" w:rsidP="007038ED">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 de ménage selon leur situation d'activité</w:t>
            </w:r>
          </w:p>
        </w:tc>
      </w:tr>
      <w:tr w:rsidR="00947248" w:rsidRPr="00CF086A" w:rsidTr="00947248">
        <w:trPr>
          <w:trHeight w:val="798"/>
          <w:tblHeader/>
        </w:trPr>
        <w:tc>
          <w:tcPr>
            <w:tcW w:w="671" w:type="pct"/>
            <w:tcBorders>
              <w:top w:val="nil"/>
              <w:bottom w:val="single" w:sz="4" w:space="0" w:color="auto"/>
            </w:tcBorders>
            <w:shd w:val="clear" w:color="auto" w:fill="auto"/>
            <w:noWrap/>
            <w:vAlign w:val="bottom"/>
            <w:hideMark/>
          </w:tcPr>
          <w:p w:rsidR="005B3A7B" w:rsidRPr="00CF086A" w:rsidRDefault="005B3A7B"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26"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 la recherche du 1er emploi</w:t>
            </w:r>
          </w:p>
        </w:tc>
        <w:tc>
          <w:tcPr>
            <w:tcW w:w="324"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Chômeur</w:t>
            </w:r>
          </w:p>
        </w:tc>
        <w:tc>
          <w:tcPr>
            <w:tcW w:w="323"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Apprenti/Elève/</w:t>
            </w:r>
          </w:p>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Etudiant</w:t>
            </w:r>
          </w:p>
        </w:tc>
        <w:tc>
          <w:tcPr>
            <w:tcW w:w="27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Retraité</w:t>
            </w:r>
          </w:p>
        </w:tc>
        <w:tc>
          <w:tcPr>
            <w:tcW w:w="232"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Autre inactif</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Employeur</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Travailleur à son propre compte</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Salarié permanent</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Salarié temporaire</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Membre d'une coopérative</w:t>
            </w:r>
          </w:p>
        </w:tc>
        <w:tc>
          <w:tcPr>
            <w:tcW w:w="27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Aide familial</w:t>
            </w:r>
          </w:p>
        </w:tc>
        <w:tc>
          <w:tcPr>
            <w:tcW w:w="20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Autre</w:t>
            </w:r>
          </w:p>
        </w:tc>
        <w:tc>
          <w:tcPr>
            <w:tcW w:w="279" w:type="pct"/>
            <w:tcBorders>
              <w:top w:val="single" w:sz="4" w:space="0" w:color="auto"/>
              <w:bottom w:val="single" w:sz="4" w:space="0" w:color="auto"/>
              <w:right w:val="nil"/>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Non déclaré</w:t>
            </w:r>
          </w:p>
        </w:tc>
        <w:tc>
          <w:tcPr>
            <w:tcW w:w="236" w:type="pct"/>
            <w:tcBorders>
              <w:top w:val="single" w:sz="4" w:space="0" w:color="auto"/>
              <w:left w:val="nil"/>
              <w:bottom w:val="single" w:sz="4" w:space="0" w:color="auto"/>
            </w:tcBorders>
            <w:shd w:val="clear" w:color="auto" w:fill="auto"/>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p>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Total</w:t>
            </w:r>
          </w:p>
        </w:tc>
      </w:tr>
      <w:tr w:rsidR="00BE0F7A" w:rsidRPr="00CF086A" w:rsidTr="00947248">
        <w:trPr>
          <w:trHeight w:val="266"/>
        </w:trPr>
        <w:tc>
          <w:tcPr>
            <w:tcW w:w="671" w:type="pct"/>
            <w:shd w:val="clear" w:color="auto" w:fill="auto"/>
            <w:noWrap/>
            <w:vAlign w:val="bottom"/>
            <w:hideMark/>
          </w:tcPr>
          <w:p w:rsidR="005B3A7B" w:rsidRPr="00947248" w:rsidRDefault="005B3A7B" w:rsidP="000D1ABF">
            <w:pPr>
              <w:keepNext/>
              <w:spacing w:beforeLines="40" w:before="96" w:after="0" w:line="240" w:lineRule="auto"/>
              <w:rPr>
                <w:rFonts w:ascii="Trebuchet MS" w:hAnsi="Trebuchet MS"/>
                <w:b/>
                <w:color w:val="000000"/>
                <w:sz w:val="20"/>
                <w:szCs w:val="20"/>
              </w:rPr>
            </w:pPr>
            <w:r w:rsidRPr="00947248">
              <w:rPr>
                <w:rFonts w:ascii="Trebuchet MS" w:hAnsi="Trebuchet MS"/>
                <w:b/>
                <w:color w:val="000000"/>
                <w:sz w:val="20"/>
                <w:szCs w:val="20"/>
              </w:rPr>
              <w:t xml:space="preserve">Sexe </w:t>
            </w:r>
          </w:p>
        </w:tc>
        <w:tc>
          <w:tcPr>
            <w:tcW w:w="326"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24"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23"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32"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0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9" w:type="pct"/>
            <w:tcBorders>
              <w:right w:val="nil"/>
            </w:tcBorders>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36" w:type="pct"/>
            <w:tcBorders>
              <w:left w:val="nil"/>
            </w:tcBorders>
            <w:shd w:val="clear" w:color="auto" w:fill="auto"/>
            <w:vAlign w:val="bottom"/>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Masculin</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2,3</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4,7</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62,1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8,2</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2,6</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12,1</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1,0</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2A5FCA">
        <w:trPr>
          <w:trHeight w:val="222"/>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Féminin</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1,1</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2,1</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60,1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6,9</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16,0</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0,9</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b/>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947248" w:rsidRDefault="005B3A7B" w:rsidP="000D1ABF">
            <w:pPr>
              <w:keepNext/>
              <w:spacing w:beforeLines="40" w:before="96" w:after="0" w:line="240" w:lineRule="auto"/>
              <w:rPr>
                <w:rFonts w:ascii="Trebuchet MS" w:hAnsi="Trebuchet MS"/>
                <w:b/>
                <w:color w:val="000000"/>
                <w:sz w:val="20"/>
                <w:szCs w:val="20"/>
              </w:rPr>
            </w:pPr>
            <w:r w:rsidRPr="00947248">
              <w:rPr>
                <w:rFonts w:ascii="Trebuchet MS" w:hAnsi="Trebuchet MS"/>
                <w:b/>
                <w:color w:val="000000"/>
                <w:sz w:val="20"/>
                <w:szCs w:val="20"/>
              </w:rPr>
              <w:t xml:space="preserve">Groupe d'âge </w:t>
            </w:r>
          </w:p>
        </w:tc>
        <w:tc>
          <w:tcPr>
            <w:tcW w:w="326"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24"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23"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32"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08"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9" w:type="pct"/>
            <w:tcBorders>
              <w:right w:val="nil"/>
            </w:tcBorders>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36" w:type="pct"/>
            <w:tcBorders>
              <w:left w:val="nil"/>
            </w:tcBorders>
            <w:shd w:val="clear" w:color="auto" w:fill="auto"/>
            <w:vAlign w:val="center"/>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Moins de 20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5,6</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55,6</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22,2</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20-29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13,4</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11,0</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30-39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12,2</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40-49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7,7</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13,2</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50-59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60-69 ans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15,3</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11,3</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70 ans et plus</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14,5</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47,1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15,6</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BF2E07" w:rsidTr="00947248">
        <w:trPr>
          <w:trHeight w:val="266"/>
        </w:trPr>
        <w:tc>
          <w:tcPr>
            <w:tcW w:w="671" w:type="pct"/>
            <w:shd w:val="clear" w:color="auto" w:fill="auto"/>
            <w:noWrap/>
            <w:vAlign w:val="bottom"/>
            <w:hideMark/>
          </w:tcPr>
          <w:p w:rsidR="005B3A7B" w:rsidRPr="00947248" w:rsidRDefault="005B3A7B" w:rsidP="000D1ABF">
            <w:pPr>
              <w:keepNext/>
              <w:spacing w:beforeLines="40" w:before="96" w:after="0" w:line="240" w:lineRule="auto"/>
              <w:rPr>
                <w:rFonts w:ascii="Trebuchet MS" w:hAnsi="Trebuchet MS"/>
                <w:b/>
                <w:color w:val="000000"/>
                <w:sz w:val="20"/>
                <w:szCs w:val="20"/>
              </w:rPr>
            </w:pPr>
            <w:r w:rsidRPr="00947248">
              <w:rPr>
                <w:rFonts w:ascii="Trebuchet MS" w:hAnsi="Trebuchet MS"/>
                <w:b/>
                <w:color w:val="000000"/>
                <w:sz w:val="20"/>
                <w:szCs w:val="20"/>
              </w:rPr>
              <w:t xml:space="preserve">Niveau d'instruction </w:t>
            </w:r>
          </w:p>
        </w:tc>
        <w:tc>
          <w:tcPr>
            <w:tcW w:w="326"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24"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23"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78"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32"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369"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78"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08" w:type="pct"/>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79" w:type="pct"/>
            <w:tcBorders>
              <w:right w:val="nil"/>
            </w:tcBorders>
            <w:shd w:val="clear" w:color="auto" w:fill="auto"/>
            <w:noWrap/>
            <w:vAlign w:val="bottom"/>
            <w:hideMark/>
          </w:tcPr>
          <w:p w:rsidR="007843E6" w:rsidRDefault="007843E6" w:rsidP="000D1ABF">
            <w:pPr>
              <w:keepNext/>
              <w:spacing w:beforeLines="40" w:before="96" w:after="0" w:line="240" w:lineRule="auto"/>
              <w:jc w:val="center"/>
              <w:rPr>
                <w:rFonts w:ascii="Trebuchet MS" w:hAnsi="Trebuchet MS"/>
                <w:color w:val="000000"/>
                <w:sz w:val="20"/>
                <w:szCs w:val="20"/>
              </w:rPr>
            </w:pP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hAnsi="Trebuchet MS"/>
                <w:color w:val="000000"/>
                <w:sz w:val="20"/>
                <w:szCs w:val="20"/>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Maternelle</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15,9</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Primaire</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13,9</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Secondaire1</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55,1</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11,5</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77"/>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Secondaire2</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10,8</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5,2</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Supérieur</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7,9</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6,6</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Aucun</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70,7</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16,6</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Autre</w:t>
            </w:r>
          </w:p>
        </w:tc>
        <w:tc>
          <w:tcPr>
            <w:tcW w:w="326"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3"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82,2</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69"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279" w:type="pct"/>
            <w:tcBorders>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tcBorders>
              <w:bottom w:val="single" w:sz="4" w:space="0" w:color="auto"/>
            </w:tcBorders>
            <w:shd w:val="clear" w:color="auto" w:fill="auto"/>
            <w:noWrap/>
            <w:vAlign w:val="bottom"/>
            <w:hideMark/>
          </w:tcPr>
          <w:p w:rsidR="005B3A7B" w:rsidRPr="00A7144C" w:rsidRDefault="005B3A7B" w:rsidP="000D1ABF">
            <w:pPr>
              <w:keepNext/>
              <w:spacing w:beforeLines="40" w:before="96"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NSP</w:t>
            </w:r>
          </w:p>
        </w:tc>
        <w:tc>
          <w:tcPr>
            <w:tcW w:w="326"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3"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32"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57,0</w:t>
            </w:r>
          </w:p>
        </w:tc>
        <w:tc>
          <w:tcPr>
            <w:tcW w:w="369"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tcBorders>
              <w:bottom w:val="sing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w:t>
            </w:r>
          </w:p>
        </w:tc>
        <w:tc>
          <w:tcPr>
            <w:tcW w:w="279" w:type="pct"/>
            <w:tcBorders>
              <w:bottom w:val="single" w:sz="4" w:space="0" w:color="auto"/>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32,9</w:t>
            </w:r>
          </w:p>
        </w:tc>
        <w:tc>
          <w:tcPr>
            <w:tcW w:w="236" w:type="pct"/>
            <w:tcBorders>
              <w:left w:val="nil"/>
              <w:bottom w:val="single" w:sz="4" w:space="0" w:color="auto"/>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tcBorders>
              <w:top w:val="single" w:sz="4" w:space="0" w:color="auto"/>
              <w:bottom w:val="double" w:sz="4" w:space="0" w:color="auto"/>
            </w:tcBorders>
            <w:shd w:val="clear" w:color="auto" w:fill="auto"/>
            <w:noWrap/>
            <w:vAlign w:val="bottom"/>
            <w:hideMark/>
          </w:tcPr>
          <w:p w:rsidR="005B3A7B" w:rsidRPr="00947248" w:rsidRDefault="005B3A7B" w:rsidP="000D1ABF">
            <w:pPr>
              <w:keepNext/>
              <w:spacing w:beforeLines="40" w:before="96" w:after="0" w:line="240" w:lineRule="auto"/>
              <w:rPr>
                <w:rFonts w:ascii="Trebuchet MS" w:hAnsi="Trebuchet MS"/>
                <w:b/>
                <w:color w:val="000000"/>
                <w:sz w:val="20"/>
                <w:szCs w:val="20"/>
              </w:rPr>
            </w:pPr>
            <w:r w:rsidRPr="00947248">
              <w:rPr>
                <w:rFonts w:ascii="Trebuchet MS" w:hAnsi="Trebuchet MS"/>
                <w:b/>
                <w:color w:val="000000"/>
                <w:sz w:val="20"/>
                <w:szCs w:val="20"/>
              </w:rPr>
              <w:t>Ensemble</w:t>
            </w:r>
          </w:p>
        </w:tc>
        <w:tc>
          <w:tcPr>
            <w:tcW w:w="326"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0,3</w:t>
            </w:r>
          </w:p>
        </w:tc>
        <w:tc>
          <w:tcPr>
            <w:tcW w:w="324"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0,5</w:t>
            </w:r>
          </w:p>
        </w:tc>
        <w:tc>
          <w:tcPr>
            <w:tcW w:w="323"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2,0</w:t>
            </w:r>
          </w:p>
        </w:tc>
        <w:tc>
          <w:tcPr>
            <w:tcW w:w="278"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4,2</w:t>
            </w:r>
          </w:p>
        </w:tc>
        <w:tc>
          <w:tcPr>
            <w:tcW w:w="232"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3,0</w:t>
            </w:r>
          </w:p>
        </w:tc>
        <w:tc>
          <w:tcPr>
            <w:tcW w:w="369"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1,3</w:t>
            </w:r>
          </w:p>
        </w:tc>
        <w:tc>
          <w:tcPr>
            <w:tcW w:w="369"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61,7</w:t>
            </w:r>
          </w:p>
        </w:tc>
        <w:tc>
          <w:tcPr>
            <w:tcW w:w="369"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7,1</w:t>
            </w:r>
          </w:p>
        </w:tc>
        <w:tc>
          <w:tcPr>
            <w:tcW w:w="369"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2,3</w:t>
            </w:r>
          </w:p>
        </w:tc>
        <w:tc>
          <w:tcPr>
            <w:tcW w:w="369"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0,3</w:t>
            </w:r>
          </w:p>
        </w:tc>
        <w:tc>
          <w:tcPr>
            <w:tcW w:w="278"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3,5</w:t>
            </w:r>
          </w:p>
        </w:tc>
        <w:tc>
          <w:tcPr>
            <w:tcW w:w="208" w:type="pct"/>
            <w:tcBorders>
              <w:top w:val="single" w:sz="4" w:space="0" w:color="auto"/>
              <w:bottom w:val="double" w:sz="4" w:space="0" w:color="auto"/>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12,9</w:t>
            </w:r>
          </w:p>
        </w:tc>
        <w:tc>
          <w:tcPr>
            <w:tcW w:w="279" w:type="pct"/>
            <w:tcBorders>
              <w:top w:val="single" w:sz="4" w:space="0" w:color="auto"/>
              <w:bottom w:val="double" w:sz="4" w:space="0" w:color="auto"/>
              <w:right w:val="nil"/>
            </w:tcBorders>
            <w:shd w:val="clear" w:color="auto" w:fill="auto"/>
            <w:noWrap/>
            <w:vAlign w:val="bottom"/>
            <w:hideMark/>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1,0</w:t>
            </w:r>
          </w:p>
        </w:tc>
        <w:tc>
          <w:tcPr>
            <w:tcW w:w="236" w:type="pct"/>
            <w:tcBorders>
              <w:top w:val="single" w:sz="4" w:space="0" w:color="auto"/>
              <w:left w:val="nil"/>
              <w:bottom w:val="double" w:sz="4" w:space="0" w:color="auto"/>
            </w:tcBorders>
            <w:shd w:val="clear" w:color="auto" w:fill="auto"/>
            <w:vAlign w:val="center"/>
          </w:tcPr>
          <w:p w:rsidR="007843E6" w:rsidRDefault="005B3A7B" w:rsidP="000D1ABF">
            <w:pPr>
              <w:keepNext/>
              <w:spacing w:beforeLines="40" w:before="96"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100 ,0</w:t>
            </w:r>
          </w:p>
        </w:tc>
      </w:tr>
      <w:tr w:rsidR="005B3A7B" w:rsidRPr="00C247B4" w:rsidTr="00947248">
        <w:trPr>
          <w:trHeight w:val="210"/>
        </w:trPr>
        <w:tc>
          <w:tcPr>
            <w:tcW w:w="5000" w:type="pct"/>
            <w:gridSpan w:val="15"/>
            <w:tcBorders>
              <w:top w:val="double" w:sz="4" w:space="0" w:color="auto"/>
              <w:bottom w:val="nil"/>
            </w:tcBorders>
            <w:shd w:val="clear" w:color="auto" w:fill="auto"/>
            <w:noWrap/>
            <w:vAlign w:val="bottom"/>
            <w:hideMark/>
          </w:tcPr>
          <w:p w:rsidR="005B3A7B" w:rsidRPr="00947248" w:rsidRDefault="005B3A7B" w:rsidP="007038ED">
            <w:pPr>
              <w:keepNext/>
              <w:spacing w:after="0" w:line="240" w:lineRule="auto"/>
              <w:rPr>
                <w:rFonts w:ascii="Trebuchet MS" w:eastAsia="Times New Roman" w:hAnsi="Trebuchet MS" w:cs="Arial"/>
                <w:b/>
                <w:color w:val="000000"/>
                <w:sz w:val="20"/>
                <w:szCs w:val="20"/>
                <w:lang w:eastAsia="fr-FR"/>
              </w:rPr>
            </w:pPr>
            <w:r w:rsidRPr="00947248">
              <w:rPr>
                <w:rFonts w:ascii="Trebuchet MS" w:hAnsi="Trebuchet MS" w:cs="Arial"/>
                <w:b/>
                <w:bCs/>
                <w:color w:val="000000"/>
                <w:sz w:val="20"/>
              </w:rPr>
              <w:t>Source : ECEB, INSAE, 2015</w:t>
            </w:r>
          </w:p>
        </w:tc>
      </w:tr>
    </w:tbl>
    <w:p w:rsidR="005B3A7B" w:rsidRDefault="005B3A7B" w:rsidP="00B811FE">
      <w:pPr>
        <w:rPr>
          <w:rFonts w:ascii="Trebuchet MS" w:hAnsi="Trebuchet MS"/>
        </w:rPr>
        <w:sectPr w:rsidR="005B3A7B" w:rsidSect="00CF086A">
          <w:pgSz w:w="16838" w:h="11906" w:orient="landscape"/>
          <w:pgMar w:top="1418" w:right="1383" w:bottom="1418" w:left="851" w:header="567" w:footer="0" w:gutter="0"/>
          <w:cols w:space="708"/>
          <w:docGrid w:linePitch="360"/>
        </w:sectPr>
      </w:pPr>
    </w:p>
    <w:p w:rsidR="003877E1" w:rsidRPr="003877E1" w:rsidRDefault="00C02303" w:rsidP="00F03E08">
      <w:pPr>
        <w:pStyle w:val="Titre4"/>
        <w:numPr>
          <w:ilvl w:val="2"/>
          <w:numId w:val="6"/>
        </w:numPr>
      </w:pPr>
      <w:bookmarkStart w:id="120" w:name="_Toc425961644"/>
      <w:bookmarkStart w:id="121" w:name="_Toc426359438"/>
      <w:r w:rsidRPr="003877E1">
        <w:t>Structure des chef</w:t>
      </w:r>
      <w:r w:rsidR="003877E1" w:rsidRPr="003877E1">
        <w:t>s</w:t>
      </w:r>
      <w:r w:rsidR="00DA1258" w:rsidRPr="003877E1">
        <w:t>de ménage occupés selon la branche d’activité</w:t>
      </w:r>
      <w:r w:rsidR="003877E1">
        <w:t xml:space="preserve"> et suivant le département et le milieu de résidence</w:t>
      </w:r>
      <w:bookmarkEnd w:id="120"/>
      <w:bookmarkEnd w:id="121"/>
    </w:p>
    <w:p w:rsidR="00DA1258" w:rsidRPr="00DA1258" w:rsidRDefault="00DA1258" w:rsidP="00DA1258">
      <w:pPr>
        <w:jc w:val="both"/>
        <w:rPr>
          <w:rFonts w:ascii="Trebuchet MS" w:hAnsi="Trebuchet MS"/>
        </w:rPr>
      </w:pPr>
      <w:r w:rsidRPr="00DA1258">
        <w:rPr>
          <w:rFonts w:ascii="Trebuchet MS" w:hAnsi="Trebuchet MS"/>
        </w:rPr>
        <w:t xml:space="preserve">On constate que dans l’ensemble </w:t>
      </w:r>
      <w:r w:rsidR="00E334D2">
        <w:rPr>
          <w:rFonts w:ascii="Trebuchet MS" w:hAnsi="Trebuchet MS"/>
        </w:rPr>
        <w:t>« </w:t>
      </w:r>
      <w:r w:rsidRPr="00DA1258">
        <w:rPr>
          <w:rFonts w:ascii="Trebuchet MS" w:hAnsi="Trebuchet MS"/>
        </w:rPr>
        <w:t>l’agriculture, l’élevage et la pèche</w:t>
      </w:r>
      <w:r w:rsidR="00E334D2">
        <w:rPr>
          <w:rFonts w:ascii="Trebuchet MS" w:hAnsi="Trebuchet MS"/>
        </w:rPr>
        <w:t> »</w:t>
      </w:r>
      <w:r w:rsidRPr="00DA1258">
        <w:rPr>
          <w:rFonts w:ascii="Trebuchet MS" w:hAnsi="Trebuchet MS"/>
        </w:rPr>
        <w:t xml:space="preserve"> occupent plus de deux chefs de ménage sur cinq (46</w:t>
      </w:r>
      <w:r w:rsidR="00E334D2">
        <w:rPr>
          <w:rFonts w:ascii="Trebuchet MS" w:hAnsi="Trebuchet MS"/>
        </w:rPr>
        <w:t>,1</w:t>
      </w:r>
      <w:r w:rsidRPr="00DA1258">
        <w:rPr>
          <w:rFonts w:ascii="Trebuchet MS" w:hAnsi="Trebuchet MS"/>
        </w:rPr>
        <w:t>%) et demeure la principale branche. Ensuite vient la branche des « Autres services » qui occupe un chef de ménage sur 4 (25</w:t>
      </w:r>
      <w:r w:rsidR="00E334D2">
        <w:rPr>
          <w:rFonts w:ascii="Trebuchet MS" w:hAnsi="Trebuchet MS"/>
        </w:rPr>
        <w:t>,2</w:t>
      </w:r>
      <w:r w:rsidRPr="00DA1258">
        <w:rPr>
          <w:rFonts w:ascii="Trebuchet MS" w:hAnsi="Trebuchet MS"/>
        </w:rPr>
        <w:t>%) et dans une moindre mesure, ils exercent une activité le commerce et la restauration (16</w:t>
      </w:r>
      <w:r w:rsidR="00E334D2">
        <w:rPr>
          <w:rFonts w:ascii="Trebuchet MS" w:hAnsi="Trebuchet MS"/>
        </w:rPr>
        <w:t>,0</w:t>
      </w:r>
      <w:r w:rsidRPr="00DA1258">
        <w:rPr>
          <w:rFonts w:ascii="Trebuchet MS" w:hAnsi="Trebuchet MS"/>
        </w:rPr>
        <w:t>%).</w:t>
      </w:r>
    </w:p>
    <w:p w:rsidR="00DA1258" w:rsidRDefault="00DA1258" w:rsidP="00DA1258">
      <w:pPr>
        <w:jc w:val="both"/>
        <w:rPr>
          <w:rFonts w:ascii="Trebuchet MS" w:hAnsi="Trebuchet MS"/>
        </w:rPr>
      </w:pPr>
      <w:r w:rsidRPr="00DA1258">
        <w:rPr>
          <w:rFonts w:ascii="Trebuchet MS" w:hAnsi="Trebuchet MS"/>
        </w:rPr>
        <w:t xml:space="preserve">Au niveau des départements, les résultats montrent que </w:t>
      </w:r>
      <w:r w:rsidR="00E334D2" w:rsidRPr="00DA1258">
        <w:rPr>
          <w:rFonts w:ascii="Trebuchet MS" w:hAnsi="Trebuchet MS"/>
        </w:rPr>
        <w:t>dans les départements du Borgou (77,4%), de l’Alibori (71</w:t>
      </w:r>
      <w:r w:rsidR="00E334D2">
        <w:rPr>
          <w:rFonts w:ascii="Trebuchet MS" w:hAnsi="Trebuchet MS"/>
        </w:rPr>
        <w:t>,1</w:t>
      </w:r>
      <w:r w:rsidR="00E334D2" w:rsidRPr="00DA1258">
        <w:rPr>
          <w:rFonts w:ascii="Trebuchet MS" w:hAnsi="Trebuchet MS"/>
        </w:rPr>
        <w:t>%), du Couffo (67</w:t>
      </w:r>
      <w:r w:rsidR="00E334D2">
        <w:rPr>
          <w:rFonts w:ascii="Trebuchet MS" w:hAnsi="Trebuchet MS"/>
        </w:rPr>
        <w:t>,0</w:t>
      </w:r>
      <w:r w:rsidR="00E334D2" w:rsidRPr="00DA1258">
        <w:rPr>
          <w:rFonts w:ascii="Trebuchet MS" w:hAnsi="Trebuchet MS"/>
        </w:rPr>
        <w:t>%), des Collines (64,3%), de la Donga (61,3%) et de l’Atacora (54,6%)</w:t>
      </w:r>
      <w:r w:rsidR="00E334D2">
        <w:rPr>
          <w:rFonts w:ascii="Trebuchet MS" w:hAnsi="Trebuchet MS"/>
        </w:rPr>
        <w:t xml:space="preserve">, </w:t>
      </w:r>
      <w:r w:rsidRPr="00DA1258">
        <w:rPr>
          <w:rFonts w:ascii="Trebuchet MS" w:hAnsi="Trebuchet MS"/>
        </w:rPr>
        <w:t xml:space="preserve">les proportions de chef de ménages travaillant dans </w:t>
      </w:r>
      <w:r w:rsidR="00E334D2">
        <w:rPr>
          <w:rFonts w:ascii="Trebuchet MS" w:hAnsi="Trebuchet MS"/>
        </w:rPr>
        <w:t>« </w:t>
      </w:r>
      <w:r w:rsidRPr="00DA1258">
        <w:rPr>
          <w:rFonts w:ascii="Trebuchet MS" w:hAnsi="Trebuchet MS"/>
        </w:rPr>
        <w:t>l’agriculture, l’élevage et la pèche</w:t>
      </w:r>
      <w:r w:rsidR="00E334D2">
        <w:rPr>
          <w:rFonts w:ascii="Trebuchet MS" w:hAnsi="Trebuchet MS"/>
        </w:rPr>
        <w:t> »</w:t>
      </w:r>
      <w:r w:rsidRPr="00DA1258">
        <w:rPr>
          <w:rFonts w:ascii="Trebuchet MS" w:hAnsi="Trebuchet MS"/>
        </w:rPr>
        <w:t xml:space="preserve"> sont les plus </w:t>
      </w:r>
      <w:r w:rsidR="00E334D2">
        <w:rPr>
          <w:rFonts w:ascii="Trebuchet MS" w:hAnsi="Trebuchet MS"/>
        </w:rPr>
        <w:t>importantes</w:t>
      </w:r>
      <w:r w:rsidRPr="00DA1258">
        <w:rPr>
          <w:rFonts w:ascii="Trebuchet MS" w:hAnsi="Trebuchet MS"/>
        </w:rPr>
        <w:t xml:space="preserve">. C’est dans les départements du Littoral et de l’Ouémé que les chefs de ménages sont très peu nombreux à travailler dans </w:t>
      </w:r>
      <w:r w:rsidR="003C6361">
        <w:rPr>
          <w:rFonts w:ascii="Trebuchet MS" w:hAnsi="Trebuchet MS"/>
        </w:rPr>
        <w:t>« </w:t>
      </w:r>
      <w:r w:rsidRPr="00DA1258">
        <w:rPr>
          <w:rFonts w:ascii="Trebuchet MS" w:hAnsi="Trebuchet MS"/>
        </w:rPr>
        <w:t>l’agriculture, la pèche et l’élevage</w:t>
      </w:r>
      <w:r w:rsidR="003C6361">
        <w:rPr>
          <w:rFonts w:ascii="Trebuchet MS" w:hAnsi="Trebuchet MS"/>
        </w:rPr>
        <w:t> »</w:t>
      </w:r>
      <w:r w:rsidRPr="00DA1258">
        <w:rPr>
          <w:rFonts w:ascii="Trebuchet MS" w:hAnsi="Trebuchet MS"/>
        </w:rPr>
        <w:t xml:space="preserve"> (1% et 11% respectivement). </w:t>
      </w:r>
      <w:r w:rsidR="003C6361">
        <w:rPr>
          <w:rFonts w:ascii="Trebuchet MS" w:hAnsi="Trebuchet MS"/>
        </w:rPr>
        <w:t>Par contre, dans ces</w:t>
      </w:r>
      <w:r w:rsidRPr="00DA1258">
        <w:rPr>
          <w:rFonts w:ascii="Trebuchet MS" w:hAnsi="Trebuchet MS"/>
        </w:rPr>
        <w:t xml:space="preserve"> deux départements</w:t>
      </w:r>
      <w:r w:rsidR="003C6361">
        <w:rPr>
          <w:rFonts w:ascii="Trebuchet MS" w:hAnsi="Trebuchet MS"/>
        </w:rPr>
        <w:t>,</w:t>
      </w:r>
      <w:r w:rsidRPr="00DA1258">
        <w:rPr>
          <w:rFonts w:ascii="Trebuchet MS" w:hAnsi="Trebuchet MS"/>
        </w:rPr>
        <w:t xml:space="preserve"> les proportions de chefs de ménages </w:t>
      </w:r>
      <w:r w:rsidR="003C6361" w:rsidRPr="00DA1258">
        <w:rPr>
          <w:rFonts w:ascii="Trebuchet MS" w:hAnsi="Trebuchet MS"/>
        </w:rPr>
        <w:t xml:space="preserve">sont plus </w:t>
      </w:r>
      <w:r w:rsidR="003C6361">
        <w:rPr>
          <w:rFonts w:ascii="Trebuchet MS" w:hAnsi="Trebuchet MS"/>
        </w:rPr>
        <w:t>importantes pour ceux quitravaille</w:t>
      </w:r>
      <w:r w:rsidRPr="00DA1258">
        <w:rPr>
          <w:rFonts w:ascii="Trebuchet MS" w:hAnsi="Trebuchet MS"/>
        </w:rPr>
        <w:t xml:space="preserve">nt dans </w:t>
      </w:r>
      <w:r w:rsidR="003C6361">
        <w:rPr>
          <w:rFonts w:ascii="Trebuchet MS" w:hAnsi="Trebuchet MS"/>
        </w:rPr>
        <w:t>« </w:t>
      </w:r>
      <w:r w:rsidRPr="00DA1258">
        <w:rPr>
          <w:rFonts w:ascii="Trebuchet MS" w:hAnsi="Trebuchet MS"/>
        </w:rPr>
        <w:t>le commerce et la restauration</w:t>
      </w:r>
      <w:r w:rsidR="003C6361">
        <w:rPr>
          <w:rFonts w:ascii="Trebuchet MS" w:hAnsi="Trebuchet MS"/>
        </w:rPr>
        <w:t> »</w:t>
      </w:r>
      <w:r w:rsidRPr="00DA1258">
        <w:rPr>
          <w:rFonts w:ascii="Trebuchet MS" w:hAnsi="Trebuchet MS"/>
        </w:rPr>
        <w:t xml:space="preserve"> (28,2% </w:t>
      </w:r>
      <w:r w:rsidR="003C6361">
        <w:rPr>
          <w:rFonts w:ascii="Trebuchet MS" w:hAnsi="Trebuchet MS"/>
        </w:rPr>
        <w:t>pour le Littoral et 25,2%pour l’Ouémé</w:t>
      </w:r>
      <w:r w:rsidRPr="00DA1258">
        <w:rPr>
          <w:rFonts w:ascii="Trebuchet MS" w:hAnsi="Trebuchet MS"/>
        </w:rPr>
        <w:t>)</w:t>
      </w:r>
      <w:r w:rsidR="003C6361">
        <w:rPr>
          <w:rFonts w:ascii="Trebuchet MS" w:hAnsi="Trebuchet MS"/>
        </w:rPr>
        <w:t xml:space="preserve"> et </w:t>
      </w:r>
      <w:r w:rsidRPr="00DA1258">
        <w:rPr>
          <w:rFonts w:ascii="Trebuchet MS" w:hAnsi="Trebuchet MS"/>
        </w:rPr>
        <w:t xml:space="preserve">la branche des « Autres services » (41,8 </w:t>
      </w:r>
      <w:r w:rsidR="003C6361">
        <w:rPr>
          <w:rFonts w:ascii="Trebuchet MS" w:hAnsi="Trebuchet MS"/>
        </w:rPr>
        <w:t xml:space="preserve">pour le Littoral </w:t>
      </w:r>
      <w:r w:rsidRPr="00DA1258">
        <w:rPr>
          <w:rFonts w:ascii="Trebuchet MS" w:hAnsi="Trebuchet MS"/>
        </w:rPr>
        <w:t xml:space="preserve">et 46,4% </w:t>
      </w:r>
      <w:r w:rsidR="003C6361">
        <w:rPr>
          <w:rFonts w:ascii="Trebuchet MS" w:hAnsi="Trebuchet MS"/>
        </w:rPr>
        <w:t>pour l’Ouémé</w:t>
      </w:r>
      <w:r w:rsidRPr="00DA1258">
        <w:rPr>
          <w:rFonts w:ascii="Trebuchet MS" w:hAnsi="Trebuchet MS"/>
        </w:rPr>
        <w:t xml:space="preserve">).  </w:t>
      </w:r>
    </w:p>
    <w:p w:rsidR="002A5FCA" w:rsidRDefault="000A6EE9" w:rsidP="007038ED">
      <w:pPr>
        <w:keepNext/>
        <w:spacing w:after="0" w:line="240" w:lineRule="auto"/>
        <w:jc w:val="both"/>
        <w:rPr>
          <w:rFonts w:ascii="Trebuchet MS" w:hAnsi="Trebuchet MS"/>
        </w:rPr>
      </w:pPr>
      <w:bookmarkStart w:id="122" w:name="_Toc426359258"/>
      <w:r w:rsidRPr="00570488">
        <w:rPr>
          <w:rFonts w:ascii="Trebuchet MS" w:hAnsi="Trebuchet MS"/>
          <w:b/>
          <w:sz w:val="20"/>
        </w:rPr>
        <w:t xml:space="preserve">Graphique </w:t>
      </w:r>
      <w:r w:rsidR="00792500" w:rsidRPr="00570488">
        <w:rPr>
          <w:rFonts w:ascii="Trebuchet MS" w:hAnsi="Trebuchet MS"/>
          <w:b/>
          <w:sz w:val="20"/>
        </w:rPr>
        <w:fldChar w:fldCharType="begin"/>
      </w:r>
      <w:r w:rsidRPr="00570488">
        <w:rPr>
          <w:rFonts w:ascii="Trebuchet MS" w:hAnsi="Trebuchet MS"/>
          <w:b/>
          <w:sz w:val="20"/>
        </w:rPr>
        <w:instrText xml:space="preserve"> SEQ Graphique \* ARABIC </w:instrText>
      </w:r>
      <w:r w:rsidR="00792500" w:rsidRPr="00570488">
        <w:rPr>
          <w:rFonts w:ascii="Trebuchet MS" w:hAnsi="Trebuchet MS"/>
          <w:b/>
          <w:sz w:val="20"/>
        </w:rPr>
        <w:fldChar w:fldCharType="separate"/>
      </w:r>
      <w:r w:rsidR="00605DE4">
        <w:rPr>
          <w:rFonts w:ascii="Trebuchet MS" w:hAnsi="Trebuchet MS"/>
          <w:b/>
          <w:noProof/>
          <w:sz w:val="20"/>
        </w:rPr>
        <w:t>4</w:t>
      </w:r>
      <w:r w:rsidR="00792500" w:rsidRPr="00570488">
        <w:rPr>
          <w:rFonts w:ascii="Trebuchet MS" w:hAnsi="Trebuchet MS"/>
          <w:b/>
          <w:sz w:val="20"/>
        </w:rPr>
        <w:fldChar w:fldCharType="end"/>
      </w:r>
      <w:r w:rsidRPr="00570488">
        <w:rPr>
          <w:rFonts w:ascii="Trebuchet MS" w:hAnsi="Trebuchet MS"/>
          <w:b/>
          <w:sz w:val="20"/>
        </w:rPr>
        <w:t>: Répartition (%) des ménages selon la situation d’activité de leur chef par département et par milieu de résidence</w:t>
      </w:r>
      <w:bookmarkEnd w:id="122"/>
    </w:p>
    <w:p w:rsidR="000A6EE9" w:rsidRDefault="000A6EE9" w:rsidP="007038ED">
      <w:pPr>
        <w:keepNext/>
        <w:spacing w:after="0" w:line="240" w:lineRule="auto"/>
        <w:jc w:val="both"/>
        <w:rPr>
          <w:rFonts w:ascii="Trebuchet MS" w:hAnsi="Trebuchet MS"/>
        </w:rPr>
      </w:pPr>
      <w:r w:rsidRPr="00312059">
        <w:rPr>
          <w:rFonts w:ascii="Trebuchet MS" w:hAnsi="Trebuchet MS"/>
          <w:noProof/>
          <w:lang w:eastAsia="fr-FR"/>
        </w:rPr>
        <w:drawing>
          <wp:inline distT="0" distB="0" distL="0" distR="0">
            <wp:extent cx="5759450" cy="3823861"/>
            <wp:effectExtent l="0" t="0" r="12700" b="24765"/>
            <wp:docPr id="32"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A6EE9" w:rsidRDefault="000A6EE9" w:rsidP="007038ED">
      <w:pPr>
        <w:keepNext/>
        <w:jc w:val="both"/>
        <w:rPr>
          <w:rFonts w:ascii="Trebuchet MS" w:hAnsi="Trebuchet MS"/>
        </w:rPr>
      </w:pPr>
      <w:r w:rsidRPr="000A6EE9">
        <w:rPr>
          <w:rFonts w:ascii="Trebuchet MS" w:hAnsi="Trebuchet MS" w:cs="Arial"/>
          <w:b/>
          <w:bCs/>
          <w:color w:val="000000"/>
          <w:sz w:val="20"/>
        </w:rPr>
        <w:t>Source : ECEB, INSAE, 2015</w:t>
      </w:r>
    </w:p>
    <w:p w:rsidR="00312059" w:rsidRPr="00DA1258" w:rsidRDefault="00312059" w:rsidP="00262BF3">
      <w:pPr>
        <w:spacing w:before="240"/>
        <w:jc w:val="both"/>
        <w:rPr>
          <w:rFonts w:ascii="Trebuchet MS" w:hAnsi="Trebuchet MS"/>
        </w:rPr>
      </w:pPr>
      <w:r>
        <w:rPr>
          <w:rFonts w:ascii="Trebuchet MS" w:hAnsi="Trebuchet MS"/>
        </w:rPr>
        <w:t>Selon le</w:t>
      </w:r>
      <w:r w:rsidRPr="00DA1258">
        <w:rPr>
          <w:rFonts w:ascii="Trebuchet MS" w:hAnsi="Trebuchet MS"/>
        </w:rPr>
        <w:t xml:space="preserve"> milieu de résidence, </w:t>
      </w:r>
      <w:r>
        <w:rPr>
          <w:rFonts w:ascii="Trebuchet MS" w:hAnsi="Trebuchet MS"/>
        </w:rPr>
        <w:t>il est à remarquer</w:t>
      </w:r>
      <w:r w:rsidRPr="00DA1258">
        <w:rPr>
          <w:rFonts w:ascii="Trebuchet MS" w:hAnsi="Trebuchet MS"/>
        </w:rPr>
        <w:t xml:space="preserve"> que quel que soit le milieu, les branches </w:t>
      </w:r>
      <w:r>
        <w:rPr>
          <w:rFonts w:ascii="Trebuchet MS" w:hAnsi="Trebuchet MS"/>
        </w:rPr>
        <w:t>« </w:t>
      </w:r>
      <w:r w:rsidRPr="00DA1258">
        <w:rPr>
          <w:rFonts w:ascii="Trebuchet MS" w:hAnsi="Trebuchet MS"/>
        </w:rPr>
        <w:t>agriculture élevage et pèche</w:t>
      </w:r>
      <w:r>
        <w:rPr>
          <w:rFonts w:ascii="Trebuchet MS" w:hAnsi="Trebuchet MS"/>
        </w:rPr>
        <w:t> »</w:t>
      </w:r>
      <w:r w:rsidRPr="00DA1258">
        <w:rPr>
          <w:rFonts w:ascii="Trebuchet MS" w:hAnsi="Trebuchet MS"/>
        </w:rPr>
        <w:t xml:space="preserve">, </w:t>
      </w:r>
      <w:r>
        <w:rPr>
          <w:rFonts w:ascii="Trebuchet MS" w:hAnsi="Trebuchet MS"/>
        </w:rPr>
        <w:t>« </w:t>
      </w:r>
      <w:r w:rsidRPr="00DA1258">
        <w:rPr>
          <w:rFonts w:ascii="Trebuchet MS" w:hAnsi="Trebuchet MS"/>
        </w:rPr>
        <w:t>autres services</w:t>
      </w:r>
      <w:r>
        <w:rPr>
          <w:rFonts w:ascii="Trebuchet MS" w:hAnsi="Trebuchet MS"/>
        </w:rPr>
        <w:t> »</w:t>
      </w:r>
      <w:r w:rsidRPr="00DA1258">
        <w:rPr>
          <w:rFonts w:ascii="Trebuchet MS" w:hAnsi="Trebuchet MS"/>
        </w:rPr>
        <w:t xml:space="preserve"> et </w:t>
      </w:r>
      <w:r>
        <w:rPr>
          <w:rFonts w:ascii="Trebuchet MS" w:hAnsi="Trebuchet MS"/>
        </w:rPr>
        <w:t>« </w:t>
      </w:r>
      <w:r w:rsidRPr="00DA1258">
        <w:rPr>
          <w:rFonts w:ascii="Trebuchet MS" w:hAnsi="Trebuchet MS"/>
        </w:rPr>
        <w:t>commerce et restauration</w:t>
      </w:r>
      <w:r>
        <w:rPr>
          <w:rFonts w:ascii="Trebuchet MS" w:hAnsi="Trebuchet MS"/>
        </w:rPr>
        <w:t> »</w:t>
      </w:r>
      <w:r w:rsidRPr="00DA1258">
        <w:rPr>
          <w:rFonts w:ascii="Trebuchet MS" w:hAnsi="Trebuchet MS"/>
        </w:rPr>
        <w:t xml:space="preserve">, demeurent celles qui emploient plus de chefs de ménage. </w:t>
      </w:r>
      <w:r>
        <w:rPr>
          <w:rFonts w:ascii="Trebuchet MS" w:hAnsi="Trebuchet MS"/>
        </w:rPr>
        <w:t>En effet, e</w:t>
      </w:r>
      <w:r w:rsidRPr="00DA1258">
        <w:rPr>
          <w:rFonts w:ascii="Trebuchet MS" w:hAnsi="Trebuchet MS"/>
        </w:rPr>
        <w:t xml:space="preserve">n milieu rural </w:t>
      </w:r>
      <w:r>
        <w:rPr>
          <w:rFonts w:ascii="Trebuchet MS" w:hAnsi="Trebuchet MS"/>
        </w:rPr>
        <w:t>les chefs de ménage</w:t>
      </w:r>
      <w:r w:rsidRPr="00DA1258">
        <w:rPr>
          <w:rFonts w:ascii="Trebuchet MS" w:hAnsi="Trebuchet MS"/>
        </w:rPr>
        <w:t xml:space="preserve"> exercent à 56</w:t>
      </w:r>
      <w:r>
        <w:rPr>
          <w:rFonts w:ascii="Trebuchet MS" w:hAnsi="Trebuchet MS"/>
        </w:rPr>
        <w:t>,1</w:t>
      </w:r>
      <w:r w:rsidRPr="00DA1258">
        <w:rPr>
          <w:rFonts w:ascii="Trebuchet MS" w:hAnsi="Trebuchet MS"/>
        </w:rPr>
        <w:t xml:space="preserve">% une activité dans la branche « agriculture, pèche et élevage » </w:t>
      </w:r>
      <w:r>
        <w:rPr>
          <w:rFonts w:ascii="Trebuchet MS" w:hAnsi="Trebuchet MS"/>
        </w:rPr>
        <w:t xml:space="preserve">et à </w:t>
      </w:r>
      <w:r w:rsidRPr="00DA1258">
        <w:rPr>
          <w:rFonts w:ascii="Trebuchet MS" w:hAnsi="Trebuchet MS"/>
        </w:rPr>
        <w:t>23,3%</w:t>
      </w:r>
      <w:r>
        <w:rPr>
          <w:rFonts w:ascii="Trebuchet MS" w:hAnsi="Trebuchet MS"/>
        </w:rPr>
        <w:t xml:space="preserve"> dans « </w:t>
      </w:r>
      <w:r w:rsidRPr="00DA1258">
        <w:rPr>
          <w:rFonts w:ascii="Trebuchet MS" w:hAnsi="Trebuchet MS"/>
        </w:rPr>
        <w:t>autres services</w:t>
      </w:r>
      <w:r>
        <w:rPr>
          <w:rFonts w:ascii="Trebuchet MS" w:hAnsi="Trebuchet MS"/>
        </w:rPr>
        <w:t xml:space="preserve"> » ; la branche </w:t>
      </w:r>
      <w:r w:rsidRPr="00DA1258">
        <w:rPr>
          <w:rFonts w:ascii="Trebuchet MS" w:hAnsi="Trebuchet MS"/>
        </w:rPr>
        <w:t>« commerce et restauration</w:t>
      </w:r>
      <w:r>
        <w:rPr>
          <w:rFonts w:ascii="Trebuchet MS" w:hAnsi="Trebuchet MS"/>
        </w:rPr>
        <w:t> » enregistre</w:t>
      </w:r>
      <w:r w:rsidRPr="00DA1258">
        <w:rPr>
          <w:rFonts w:ascii="Trebuchet MS" w:hAnsi="Trebuchet MS"/>
        </w:rPr>
        <w:t xml:space="preserve"> 14,2% </w:t>
      </w:r>
      <w:r>
        <w:rPr>
          <w:rFonts w:ascii="Trebuchet MS" w:hAnsi="Trebuchet MS"/>
        </w:rPr>
        <w:t xml:space="preserve">des chefs de ménage. En </w:t>
      </w:r>
      <w:r w:rsidRPr="00DA1258">
        <w:rPr>
          <w:rFonts w:ascii="Trebuchet MS" w:hAnsi="Trebuchet MS"/>
        </w:rPr>
        <w:t>milieu urbain</w:t>
      </w:r>
      <w:r>
        <w:rPr>
          <w:rFonts w:ascii="Trebuchet MS" w:hAnsi="Trebuchet MS"/>
        </w:rPr>
        <w:t xml:space="preserve">, </w:t>
      </w:r>
      <w:r w:rsidRPr="00DA1258">
        <w:rPr>
          <w:rFonts w:ascii="Trebuchet MS" w:hAnsi="Trebuchet MS"/>
        </w:rPr>
        <w:t xml:space="preserve">les branches </w:t>
      </w:r>
      <w:r>
        <w:rPr>
          <w:rFonts w:ascii="Trebuchet MS" w:hAnsi="Trebuchet MS"/>
        </w:rPr>
        <w:t>les</w:t>
      </w:r>
      <w:r w:rsidRPr="00DA1258">
        <w:rPr>
          <w:rFonts w:ascii="Trebuchet MS" w:hAnsi="Trebuchet MS"/>
        </w:rPr>
        <w:t xml:space="preserve"> plus prépondérantes </w:t>
      </w:r>
      <w:r>
        <w:rPr>
          <w:rFonts w:ascii="Trebuchet MS" w:hAnsi="Trebuchet MS"/>
        </w:rPr>
        <w:t xml:space="preserve">sont : </w:t>
      </w:r>
      <w:r w:rsidRPr="00DA1258">
        <w:rPr>
          <w:rFonts w:ascii="Trebuchet MS" w:hAnsi="Trebuchet MS"/>
        </w:rPr>
        <w:t>« Autres services</w:t>
      </w:r>
      <w:r>
        <w:rPr>
          <w:rFonts w:ascii="Trebuchet MS" w:hAnsi="Trebuchet MS"/>
        </w:rPr>
        <w:t> »</w:t>
      </w:r>
      <w:r w:rsidRPr="00DA1258">
        <w:rPr>
          <w:rFonts w:ascii="Trebuchet MS" w:hAnsi="Trebuchet MS"/>
        </w:rPr>
        <w:t xml:space="preserve"> (32,8%</w:t>
      </w:r>
      <w:r>
        <w:rPr>
          <w:rFonts w:ascii="Trebuchet MS" w:hAnsi="Trebuchet MS"/>
        </w:rPr>
        <w:t>),« </w:t>
      </w:r>
      <w:r w:rsidRPr="00DA1258">
        <w:rPr>
          <w:rFonts w:ascii="Trebuchet MS" w:hAnsi="Trebuchet MS"/>
        </w:rPr>
        <w:t>agriculture élevage et pèche</w:t>
      </w:r>
      <w:r>
        <w:rPr>
          <w:rFonts w:ascii="Trebuchet MS" w:hAnsi="Trebuchet MS"/>
        </w:rPr>
        <w:t xml:space="preserve"> » (30,8%)et </w:t>
      </w:r>
      <w:r w:rsidRPr="00DA1258">
        <w:rPr>
          <w:rFonts w:ascii="Trebuchet MS" w:hAnsi="Trebuchet MS"/>
        </w:rPr>
        <w:t>« commerce et restauration</w:t>
      </w:r>
      <w:r>
        <w:rPr>
          <w:rFonts w:ascii="Trebuchet MS" w:hAnsi="Trebuchet MS"/>
        </w:rPr>
        <w:t> »</w:t>
      </w:r>
      <w:r w:rsidRPr="00DA1258">
        <w:rPr>
          <w:rFonts w:ascii="Trebuchet MS" w:hAnsi="Trebuchet MS"/>
        </w:rPr>
        <w:t xml:space="preserve"> (18,7%</w:t>
      </w:r>
      <w:r>
        <w:rPr>
          <w:rFonts w:ascii="Trebuchet MS" w:hAnsi="Trebuchet MS"/>
        </w:rPr>
        <w:t>)</w:t>
      </w:r>
      <w:r w:rsidRPr="00DA1258">
        <w:rPr>
          <w:rFonts w:ascii="Trebuchet MS" w:hAnsi="Trebuchet MS"/>
        </w:rPr>
        <w:t>.</w:t>
      </w:r>
    </w:p>
    <w:p w:rsidR="003877E1" w:rsidRPr="00F57BAA" w:rsidRDefault="003877E1" w:rsidP="00F03E08">
      <w:pPr>
        <w:pStyle w:val="Titre4"/>
        <w:numPr>
          <w:ilvl w:val="2"/>
          <w:numId w:val="6"/>
        </w:numPr>
      </w:pPr>
      <w:bookmarkStart w:id="123" w:name="_Toc425961645"/>
      <w:bookmarkStart w:id="124" w:name="_Toc426359439"/>
      <w:r w:rsidRPr="003877E1">
        <w:t>Structure des chefs de ménage occupés selon la branche d’activité</w:t>
      </w:r>
      <w:r>
        <w:t xml:space="preserve"> et suivant leur sexe, leur groupe d’âge et leur niveau d’instruction</w:t>
      </w:r>
      <w:bookmarkEnd w:id="123"/>
      <w:bookmarkEnd w:id="124"/>
    </w:p>
    <w:p w:rsidR="00DA1258" w:rsidRPr="00DA1258" w:rsidRDefault="00312059" w:rsidP="00DA1258">
      <w:pPr>
        <w:jc w:val="both"/>
        <w:rPr>
          <w:rFonts w:ascii="Trebuchet MS" w:hAnsi="Trebuchet MS"/>
        </w:rPr>
      </w:pPr>
      <w:r>
        <w:rPr>
          <w:rFonts w:ascii="Trebuchet MS" w:hAnsi="Trebuchet MS"/>
        </w:rPr>
        <w:t>Une analyse selon</w:t>
      </w:r>
      <w:r w:rsidR="00DA1258" w:rsidRPr="00DA1258">
        <w:rPr>
          <w:rFonts w:ascii="Trebuchet MS" w:hAnsi="Trebuchet MS"/>
        </w:rPr>
        <w:t xml:space="preserve"> le sexe du chef de ménage, </w:t>
      </w:r>
      <w:r>
        <w:rPr>
          <w:rFonts w:ascii="Trebuchet MS" w:hAnsi="Trebuchet MS"/>
        </w:rPr>
        <w:t xml:space="preserve">met en exergue que </w:t>
      </w:r>
      <w:r w:rsidR="00DA1258" w:rsidRPr="00DA1258">
        <w:rPr>
          <w:rFonts w:ascii="Trebuchet MS" w:hAnsi="Trebuchet MS"/>
        </w:rPr>
        <w:t xml:space="preserve">la proportion des hommes exerçant une activité dans </w:t>
      </w:r>
      <w:r>
        <w:rPr>
          <w:rFonts w:ascii="Trebuchet MS" w:hAnsi="Trebuchet MS"/>
        </w:rPr>
        <w:t>« </w:t>
      </w:r>
      <w:r w:rsidR="00DA1258" w:rsidRPr="00DA1258">
        <w:rPr>
          <w:rFonts w:ascii="Trebuchet MS" w:hAnsi="Trebuchet MS"/>
        </w:rPr>
        <w:t>l’agriculture, la pèche et l’élevage</w:t>
      </w:r>
      <w:r>
        <w:rPr>
          <w:rFonts w:ascii="Trebuchet MS" w:hAnsi="Trebuchet MS"/>
        </w:rPr>
        <w:t> »</w:t>
      </w:r>
      <w:r w:rsidR="00DA1258" w:rsidRPr="00DA1258">
        <w:rPr>
          <w:rFonts w:ascii="Trebuchet MS" w:hAnsi="Trebuchet MS"/>
        </w:rPr>
        <w:t xml:space="preserve"> est le double de celle des femmes (51,3% contre 2</w:t>
      </w:r>
      <w:r>
        <w:rPr>
          <w:rFonts w:ascii="Trebuchet MS" w:hAnsi="Trebuchet MS"/>
        </w:rPr>
        <w:t>4,9</w:t>
      </w:r>
      <w:r w:rsidR="00DA1258" w:rsidRPr="00DA1258">
        <w:rPr>
          <w:rFonts w:ascii="Trebuchet MS" w:hAnsi="Trebuchet MS"/>
        </w:rPr>
        <w:t xml:space="preserve">%). Par contre, les femmes travaillent </w:t>
      </w:r>
      <w:r w:rsidR="00231D08" w:rsidRPr="00DA1258">
        <w:rPr>
          <w:rFonts w:ascii="Trebuchet MS" w:hAnsi="Trebuchet MS"/>
        </w:rPr>
        <w:t xml:space="preserve">essentiellement </w:t>
      </w:r>
      <w:r w:rsidR="00DA1258" w:rsidRPr="00DA1258">
        <w:rPr>
          <w:rFonts w:ascii="Trebuchet MS" w:hAnsi="Trebuchet MS"/>
        </w:rPr>
        <w:t xml:space="preserve">dans </w:t>
      </w:r>
      <w:r w:rsidR="00231D08">
        <w:rPr>
          <w:rFonts w:ascii="Trebuchet MS" w:hAnsi="Trebuchet MS"/>
        </w:rPr>
        <w:t>« </w:t>
      </w:r>
      <w:r w:rsidR="00DA1258" w:rsidRPr="00DA1258">
        <w:rPr>
          <w:rFonts w:ascii="Trebuchet MS" w:hAnsi="Trebuchet MS"/>
        </w:rPr>
        <w:t>le commerce et la restauration</w:t>
      </w:r>
      <w:r w:rsidR="00231D08">
        <w:rPr>
          <w:rFonts w:ascii="Trebuchet MS" w:hAnsi="Trebuchet MS"/>
        </w:rPr>
        <w:t xml:space="preserve"> » avec une proportion estimée à </w:t>
      </w:r>
      <w:r w:rsidR="00DA1258" w:rsidRPr="00DA1258">
        <w:rPr>
          <w:rFonts w:ascii="Trebuchet MS" w:hAnsi="Trebuchet MS"/>
        </w:rPr>
        <w:t>48% contre 8% chez les hommes.</w:t>
      </w:r>
    </w:p>
    <w:p w:rsidR="00DA1258" w:rsidRPr="00DA1258" w:rsidRDefault="00DA1258" w:rsidP="00DA1258">
      <w:pPr>
        <w:jc w:val="both"/>
        <w:rPr>
          <w:rFonts w:ascii="Trebuchet MS" w:hAnsi="Trebuchet MS"/>
        </w:rPr>
      </w:pPr>
      <w:r w:rsidRPr="00DA1258">
        <w:rPr>
          <w:rFonts w:ascii="Trebuchet MS" w:hAnsi="Trebuchet MS"/>
        </w:rPr>
        <w:t xml:space="preserve">Pour les groupes d’âges, </w:t>
      </w:r>
      <w:r w:rsidR="00231D08">
        <w:rPr>
          <w:rFonts w:ascii="Trebuchet MS" w:hAnsi="Trebuchet MS"/>
        </w:rPr>
        <w:t xml:space="preserve">il est à remarquer que </w:t>
      </w:r>
      <w:r w:rsidRPr="00DA1258">
        <w:rPr>
          <w:rFonts w:ascii="Trebuchet MS" w:hAnsi="Trebuchet MS"/>
        </w:rPr>
        <w:t>les proportions de chef</w:t>
      </w:r>
      <w:r w:rsidR="00231D08">
        <w:rPr>
          <w:rFonts w:ascii="Trebuchet MS" w:hAnsi="Trebuchet MS"/>
        </w:rPr>
        <w:t>s</w:t>
      </w:r>
      <w:r w:rsidRPr="00DA1258">
        <w:rPr>
          <w:rFonts w:ascii="Trebuchet MS" w:hAnsi="Trebuchet MS"/>
        </w:rPr>
        <w:t xml:space="preserve"> de ménage exerçant une activité dans </w:t>
      </w:r>
      <w:r w:rsidR="00231D08">
        <w:rPr>
          <w:rFonts w:ascii="Trebuchet MS" w:hAnsi="Trebuchet MS"/>
        </w:rPr>
        <w:t>« </w:t>
      </w:r>
      <w:r w:rsidRPr="00DA1258">
        <w:rPr>
          <w:rFonts w:ascii="Trebuchet MS" w:hAnsi="Trebuchet MS"/>
        </w:rPr>
        <w:t>l’agriculture, la pèche et l’élevage</w:t>
      </w:r>
      <w:r w:rsidR="00231D08">
        <w:rPr>
          <w:rFonts w:ascii="Trebuchet MS" w:hAnsi="Trebuchet MS"/>
        </w:rPr>
        <w:t> »</w:t>
      </w:r>
      <w:r w:rsidRPr="00DA1258">
        <w:rPr>
          <w:rFonts w:ascii="Trebuchet MS" w:hAnsi="Trebuchet MS"/>
        </w:rPr>
        <w:t xml:space="preserve"> varient en fonction du groupe d’âges. </w:t>
      </w:r>
      <w:r w:rsidR="00231D08">
        <w:rPr>
          <w:rFonts w:ascii="Trebuchet MS" w:hAnsi="Trebuchet MS"/>
        </w:rPr>
        <w:t xml:space="preserve">En effet, </w:t>
      </w:r>
      <w:r w:rsidRPr="00DA1258">
        <w:rPr>
          <w:rFonts w:ascii="Trebuchet MS" w:hAnsi="Trebuchet MS"/>
        </w:rPr>
        <w:t xml:space="preserve">pour les chefs de ménage âgés de moins de 20 ans </w:t>
      </w:r>
      <w:r w:rsidR="00231D08">
        <w:rPr>
          <w:rFonts w:ascii="Trebuchet MS" w:hAnsi="Trebuchet MS"/>
        </w:rPr>
        <w:t>la</w:t>
      </w:r>
      <w:r w:rsidR="00231D08" w:rsidRPr="00DA1258">
        <w:rPr>
          <w:rFonts w:ascii="Trebuchet MS" w:hAnsi="Trebuchet MS"/>
        </w:rPr>
        <w:t xml:space="preserve"> proportion </w:t>
      </w:r>
      <w:r w:rsidR="00231D08">
        <w:rPr>
          <w:rFonts w:ascii="Trebuchet MS" w:hAnsi="Trebuchet MS"/>
        </w:rPr>
        <w:t xml:space="preserve">de ceux </w:t>
      </w:r>
      <w:r w:rsidR="00231D08" w:rsidRPr="00DA1258">
        <w:rPr>
          <w:rFonts w:ascii="Trebuchet MS" w:hAnsi="Trebuchet MS"/>
        </w:rPr>
        <w:t xml:space="preserve">qui </w:t>
      </w:r>
      <w:r w:rsidR="00231D08">
        <w:rPr>
          <w:rFonts w:ascii="Trebuchet MS" w:hAnsi="Trebuchet MS"/>
        </w:rPr>
        <w:t>sont dans la branche« </w:t>
      </w:r>
      <w:r w:rsidR="00231D08" w:rsidRPr="00DA1258">
        <w:rPr>
          <w:rFonts w:ascii="Trebuchet MS" w:hAnsi="Trebuchet MS"/>
        </w:rPr>
        <w:t>agriculture, pèche et élevage</w:t>
      </w:r>
      <w:r w:rsidR="00231D08">
        <w:rPr>
          <w:rFonts w:ascii="Trebuchet MS" w:hAnsi="Trebuchet MS"/>
        </w:rPr>
        <w:t xml:space="preserve"> » </w:t>
      </w:r>
      <w:r w:rsidR="00231D08" w:rsidRPr="00DA1258">
        <w:rPr>
          <w:rFonts w:ascii="Trebuchet MS" w:hAnsi="Trebuchet MS"/>
        </w:rPr>
        <w:t>est de 28</w:t>
      </w:r>
      <w:r w:rsidR="00231D08">
        <w:rPr>
          <w:rFonts w:ascii="Trebuchet MS" w:hAnsi="Trebuchet MS"/>
        </w:rPr>
        <w:t>,5</w:t>
      </w:r>
      <w:r w:rsidR="00231D08" w:rsidRPr="00DA1258">
        <w:rPr>
          <w:rFonts w:ascii="Trebuchet MS" w:hAnsi="Trebuchet MS"/>
        </w:rPr>
        <w:t>%</w:t>
      </w:r>
      <w:r w:rsidR="00231D08">
        <w:rPr>
          <w:rFonts w:ascii="Trebuchet MS" w:hAnsi="Trebuchet MS"/>
        </w:rPr>
        <w:t> ; cette proportion</w:t>
      </w:r>
      <w:r w:rsidRPr="00DA1258">
        <w:rPr>
          <w:rFonts w:ascii="Trebuchet MS" w:hAnsi="Trebuchet MS"/>
        </w:rPr>
        <w:t>va passer à 58</w:t>
      </w:r>
      <w:r w:rsidR="00231D08">
        <w:rPr>
          <w:rFonts w:ascii="Trebuchet MS" w:hAnsi="Trebuchet MS"/>
        </w:rPr>
        <w:t>,7</w:t>
      </w:r>
      <w:r w:rsidRPr="00DA1258">
        <w:rPr>
          <w:rFonts w:ascii="Trebuchet MS" w:hAnsi="Trebuchet MS"/>
        </w:rPr>
        <w:t>% pour la tranche d’âges 60-69 ans et à 65</w:t>
      </w:r>
      <w:r w:rsidR="00231D08">
        <w:rPr>
          <w:rFonts w:ascii="Trebuchet MS" w:hAnsi="Trebuchet MS"/>
        </w:rPr>
        <w:t>,0</w:t>
      </w:r>
      <w:r w:rsidRPr="00DA1258">
        <w:rPr>
          <w:rFonts w:ascii="Trebuchet MS" w:hAnsi="Trebuchet MS"/>
        </w:rPr>
        <w:t>% pour la tranche de 70 ans et plus. Par contre, les proportions de chefs de ménage exerçant une activité dans la branche « Autres services » diminuent de la plus jeune génération vers la plus vielle. Ainsi, ces proportions passent de 57</w:t>
      </w:r>
      <w:r w:rsidR="005E56A5">
        <w:rPr>
          <w:rFonts w:ascii="Trebuchet MS" w:hAnsi="Trebuchet MS"/>
        </w:rPr>
        <w:t>,1</w:t>
      </w:r>
      <w:r w:rsidRPr="00DA1258">
        <w:rPr>
          <w:rFonts w:ascii="Trebuchet MS" w:hAnsi="Trebuchet MS"/>
        </w:rPr>
        <w:t xml:space="preserve">% pour les chefs de ménage âgés de moins de 20 ans à seulement 18,7% pour la génération 70 ans et plus. </w:t>
      </w:r>
    </w:p>
    <w:p w:rsidR="00DA1258" w:rsidRDefault="005E56A5" w:rsidP="00F8767B">
      <w:pPr>
        <w:jc w:val="both"/>
        <w:rPr>
          <w:rFonts w:ascii="Trebuchet MS" w:hAnsi="Trebuchet MS"/>
        </w:rPr>
      </w:pPr>
      <w:r>
        <w:rPr>
          <w:rFonts w:ascii="Trebuchet MS" w:hAnsi="Trebuchet MS"/>
        </w:rPr>
        <w:t>Par rapport au</w:t>
      </w:r>
      <w:r w:rsidR="00DA1258" w:rsidRPr="00DA1258">
        <w:rPr>
          <w:rFonts w:ascii="Trebuchet MS" w:hAnsi="Trebuchet MS"/>
        </w:rPr>
        <w:t xml:space="preserve"> niveau d’instruction du chef de ménage, </w:t>
      </w:r>
      <w:r>
        <w:rPr>
          <w:rFonts w:ascii="Trebuchet MS" w:hAnsi="Trebuchet MS"/>
        </w:rPr>
        <w:t>les résultats du tableau indiquent quela proportion de ménage exerçant dans « </w:t>
      </w:r>
      <w:r w:rsidR="00DA1258" w:rsidRPr="00DA1258">
        <w:rPr>
          <w:rFonts w:ascii="Trebuchet MS" w:hAnsi="Trebuchet MS"/>
        </w:rPr>
        <w:t>l’agriculture, la pèche et l’élevage</w:t>
      </w:r>
      <w:r>
        <w:rPr>
          <w:rFonts w:ascii="Trebuchet MS" w:hAnsi="Trebuchet MS"/>
        </w:rPr>
        <w:t xml:space="preserve"> » diminue au fur et à mesureque le </w:t>
      </w:r>
      <w:r w:rsidR="00DA1258" w:rsidRPr="00DA1258">
        <w:rPr>
          <w:rFonts w:ascii="Trebuchet MS" w:hAnsi="Trebuchet MS"/>
        </w:rPr>
        <w:t>niveau d’instruction du chef de ménage</w:t>
      </w:r>
      <w:r>
        <w:rPr>
          <w:rFonts w:ascii="Trebuchet MS" w:hAnsi="Trebuchet MS"/>
        </w:rPr>
        <w:t xml:space="preserve"> augmente</w:t>
      </w:r>
      <w:r w:rsidR="00DA1258" w:rsidRPr="00DA1258">
        <w:rPr>
          <w:rFonts w:ascii="Trebuchet MS" w:hAnsi="Trebuchet MS"/>
        </w:rPr>
        <w:t xml:space="preserve">. En effet, 66,4% des chefs de ménages </w:t>
      </w:r>
      <w:r>
        <w:rPr>
          <w:rFonts w:ascii="Trebuchet MS" w:hAnsi="Trebuchet MS"/>
        </w:rPr>
        <w:t xml:space="preserve">qui </w:t>
      </w:r>
      <w:r w:rsidR="00DA1258" w:rsidRPr="00DA1258">
        <w:rPr>
          <w:rFonts w:ascii="Trebuchet MS" w:hAnsi="Trebuchet MS"/>
        </w:rPr>
        <w:t xml:space="preserve">n’ont aucun niveau d’instruction </w:t>
      </w:r>
      <w:r w:rsidRPr="00DA1258">
        <w:rPr>
          <w:rFonts w:ascii="Trebuchet MS" w:hAnsi="Trebuchet MS"/>
        </w:rPr>
        <w:t>exercent une activité dans l’agriculture</w:t>
      </w:r>
      <w:r>
        <w:rPr>
          <w:rFonts w:ascii="Trebuchet MS" w:hAnsi="Trebuchet MS"/>
        </w:rPr>
        <w:t xml:space="preserve"> ; pour ceux </w:t>
      </w:r>
      <w:r w:rsidR="00DA1258" w:rsidRPr="00DA1258">
        <w:rPr>
          <w:rFonts w:ascii="Trebuchet MS" w:hAnsi="Trebuchet MS"/>
        </w:rPr>
        <w:t xml:space="preserve">ayant le niveau </w:t>
      </w:r>
      <w:r w:rsidR="007038ED">
        <w:rPr>
          <w:rFonts w:ascii="Trebuchet MS" w:hAnsi="Trebuchet MS"/>
        </w:rPr>
        <w:t>« </w:t>
      </w:r>
      <w:r w:rsidR="00DA1258" w:rsidRPr="00DA1258">
        <w:rPr>
          <w:rFonts w:ascii="Trebuchet MS" w:hAnsi="Trebuchet MS"/>
        </w:rPr>
        <w:t>maternelle</w:t>
      </w:r>
      <w:r w:rsidR="007038ED">
        <w:rPr>
          <w:rFonts w:ascii="Trebuchet MS" w:hAnsi="Trebuchet MS"/>
        </w:rPr>
        <w:t> »</w:t>
      </w:r>
      <w:r>
        <w:rPr>
          <w:rFonts w:ascii="Trebuchet MS" w:hAnsi="Trebuchet MS"/>
        </w:rPr>
        <w:t xml:space="preserve">et </w:t>
      </w:r>
      <w:r w:rsidR="00DA1258" w:rsidRPr="00DA1258">
        <w:rPr>
          <w:rFonts w:ascii="Trebuchet MS" w:hAnsi="Trebuchet MS"/>
        </w:rPr>
        <w:t>le niveau primaire</w:t>
      </w:r>
      <w:r>
        <w:rPr>
          <w:rFonts w:ascii="Trebuchet MS" w:hAnsi="Trebuchet MS"/>
        </w:rPr>
        <w:t>, la proportion de chefs de ménage est</w:t>
      </w:r>
      <w:r w:rsidR="00F8767B">
        <w:rPr>
          <w:rFonts w:ascii="Trebuchet MS" w:hAnsi="Trebuchet MS"/>
        </w:rPr>
        <w:t>estimée respectivement à</w:t>
      </w:r>
      <w:r w:rsidRPr="00DA1258">
        <w:rPr>
          <w:rFonts w:ascii="Trebuchet MS" w:hAnsi="Trebuchet MS"/>
        </w:rPr>
        <w:t xml:space="preserve"> 64,5% </w:t>
      </w:r>
      <w:r w:rsidR="00F8767B">
        <w:rPr>
          <w:rFonts w:ascii="Trebuchet MS" w:hAnsi="Trebuchet MS"/>
        </w:rPr>
        <w:t xml:space="preserve">et </w:t>
      </w:r>
      <w:r w:rsidRPr="00DA1258">
        <w:rPr>
          <w:rFonts w:ascii="Trebuchet MS" w:hAnsi="Trebuchet MS"/>
        </w:rPr>
        <w:t>34,9%</w:t>
      </w:r>
      <w:r w:rsidR="00DA1258" w:rsidRPr="00DA1258">
        <w:rPr>
          <w:rFonts w:ascii="Trebuchet MS" w:hAnsi="Trebuchet MS"/>
        </w:rPr>
        <w:t>. Seuls 3% des chefs de ménage ayant un niveau supérieur exercent une activité dans l’agriculture. Par contre</w:t>
      </w:r>
      <w:r w:rsidR="00F8767B">
        <w:rPr>
          <w:rFonts w:ascii="Trebuchet MS" w:hAnsi="Trebuchet MS"/>
        </w:rPr>
        <w:t>, parmi l</w:t>
      </w:r>
      <w:r w:rsidR="00F8767B" w:rsidRPr="00DA1258">
        <w:rPr>
          <w:rFonts w:ascii="Trebuchet MS" w:hAnsi="Trebuchet MS"/>
        </w:rPr>
        <w:t>es chefs de ménage ayant un niveau supérieur</w:t>
      </w:r>
      <w:r w:rsidR="00F8767B">
        <w:rPr>
          <w:rFonts w:ascii="Trebuchet MS" w:hAnsi="Trebuchet MS"/>
        </w:rPr>
        <w:t xml:space="preserve">,62,4% </w:t>
      </w:r>
      <w:r w:rsidR="00DA1258" w:rsidRPr="00DA1258">
        <w:rPr>
          <w:rFonts w:ascii="Trebuchet MS" w:hAnsi="Trebuchet MS"/>
        </w:rPr>
        <w:t>exercent essentiellement u</w:t>
      </w:r>
      <w:r w:rsidR="00F8767B">
        <w:rPr>
          <w:rFonts w:ascii="Trebuchet MS" w:hAnsi="Trebuchet MS"/>
        </w:rPr>
        <w:t>ne activité dans la branche « Autres services ».</w:t>
      </w:r>
    </w:p>
    <w:p w:rsidR="00F8767B" w:rsidRPr="00DA1258" w:rsidRDefault="00F8767B" w:rsidP="00F8767B">
      <w:pPr>
        <w:jc w:val="both"/>
        <w:rPr>
          <w:rFonts w:ascii="Trebuchet MS" w:hAnsi="Trebuchet MS"/>
        </w:rPr>
        <w:sectPr w:rsidR="00F8767B" w:rsidRPr="00DA1258" w:rsidSect="00312059">
          <w:pgSz w:w="11906" w:h="16838"/>
          <w:pgMar w:top="1383" w:right="1418" w:bottom="1134" w:left="1418" w:header="567" w:footer="0" w:gutter="0"/>
          <w:cols w:space="708"/>
          <w:docGrid w:linePitch="360"/>
        </w:sectPr>
      </w:pPr>
    </w:p>
    <w:p w:rsidR="00570488" w:rsidRPr="00570488" w:rsidRDefault="00570488" w:rsidP="00A907E6">
      <w:pPr>
        <w:keepNext/>
        <w:spacing w:after="0"/>
        <w:rPr>
          <w:b/>
        </w:rPr>
      </w:pPr>
      <w:bookmarkStart w:id="125" w:name="_Toc425955991"/>
      <w:bookmarkStart w:id="126" w:name="_Toc426359332"/>
      <w:r w:rsidRPr="00570488">
        <w:rPr>
          <w:rFonts w:ascii="Trebuchet MS" w:hAnsi="Trebuchet MS"/>
          <w:b/>
          <w:sz w:val="20"/>
        </w:rPr>
        <w:t xml:space="preserve">Tableau </w:t>
      </w:r>
      <w:r w:rsidR="00792500" w:rsidRPr="00570488">
        <w:rPr>
          <w:rFonts w:ascii="Trebuchet MS" w:hAnsi="Trebuchet MS"/>
          <w:b/>
          <w:sz w:val="20"/>
        </w:rPr>
        <w:fldChar w:fldCharType="begin"/>
      </w:r>
      <w:r w:rsidRPr="00570488">
        <w:rPr>
          <w:rFonts w:ascii="Trebuchet MS" w:hAnsi="Trebuchet MS"/>
          <w:b/>
          <w:sz w:val="20"/>
        </w:rPr>
        <w:instrText xml:space="preserve"> SEQ Tableau \* ARABIC </w:instrText>
      </w:r>
      <w:r w:rsidR="00792500" w:rsidRPr="00570488">
        <w:rPr>
          <w:rFonts w:ascii="Trebuchet MS" w:hAnsi="Trebuchet MS"/>
          <w:b/>
          <w:sz w:val="20"/>
        </w:rPr>
        <w:fldChar w:fldCharType="separate"/>
      </w:r>
      <w:r w:rsidR="00556962">
        <w:rPr>
          <w:rFonts w:ascii="Trebuchet MS" w:hAnsi="Trebuchet MS"/>
          <w:b/>
          <w:noProof/>
          <w:sz w:val="20"/>
        </w:rPr>
        <w:t>13</w:t>
      </w:r>
      <w:r w:rsidR="00792500" w:rsidRPr="00570488">
        <w:rPr>
          <w:rFonts w:ascii="Trebuchet MS" w:hAnsi="Trebuchet MS"/>
          <w:b/>
          <w:sz w:val="20"/>
        </w:rPr>
        <w:fldChar w:fldCharType="end"/>
      </w:r>
      <w:r w:rsidRPr="00570488">
        <w:rPr>
          <w:rFonts w:ascii="Trebuchet MS" w:hAnsi="Trebuchet MS"/>
          <w:b/>
          <w:color w:val="000000"/>
          <w:sz w:val="20"/>
        </w:rPr>
        <w:t>: Répartition (%) des ménages selon la situation d’activité de leur chef selon le département et le milieu de résidence</w:t>
      </w:r>
      <w:bookmarkEnd w:id="125"/>
      <w:bookmarkEnd w:id="126"/>
    </w:p>
    <w:tbl>
      <w:tblPr>
        <w:tblW w:w="4944"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600"/>
        <w:gridCol w:w="1219"/>
        <w:gridCol w:w="918"/>
        <w:gridCol w:w="1158"/>
        <w:gridCol w:w="895"/>
        <w:gridCol w:w="1225"/>
        <w:gridCol w:w="1575"/>
        <w:gridCol w:w="1085"/>
        <w:gridCol w:w="1029"/>
        <w:gridCol w:w="802"/>
        <w:gridCol w:w="714"/>
        <w:gridCol w:w="1359"/>
      </w:tblGrid>
      <w:tr w:rsidR="00F8767B" w:rsidRPr="00CF086A" w:rsidTr="00570488">
        <w:trPr>
          <w:trHeight w:val="252"/>
          <w:tblHeader/>
        </w:trPr>
        <w:tc>
          <w:tcPr>
            <w:tcW w:w="892" w:type="pct"/>
            <w:tcBorders>
              <w:bottom w:val="nil"/>
            </w:tcBorders>
            <w:shd w:val="clear" w:color="auto" w:fill="auto"/>
            <w:noWrap/>
            <w:vAlign w:val="bottom"/>
            <w:hideMark/>
          </w:tcPr>
          <w:p w:rsidR="00F8767B" w:rsidRPr="00CF086A" w:rsidRDefault="00F8767B" w:rsidP="00A907E6">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642" w:type="pct"/>
            <w:gridSpan w:val="10"/>
            <w:tcBorders>
              <w:top w:val="double" w:sz="4" w:space="0" w:color="auto"/>
              <w:bottom w:val="single" w:sz="4" w:space="0" w:color="auto"/>
            </w:tcBorders>
            <w:shd w:val="clear" w:color="auto" w:fill="auto"/>
            <w:vAlign w:val="bottom"/>
            <w:hideMark/>
          </w:tcPr>
          <w:p w:rsidR="00F8767B" w:rsidRPr="00CF086A" w:rsidRDefault="00F8767B" w:rsidP="00A907E6">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chefs de ménage occupés selon la branche d'activité</w:t>
            </w:r>
          </w:p>
        </w:tc>
        <w:tc>
          <w:tcPr>
            <w:tcW w:w="466" w:type="pct"/>
            <w:vMerge w:val="restart"/>
            <w:shd w:val="clear" w:color="auto" w:fill="auto"/>
            <w:noWrap/>
            <w:vAlign w:val="bottom"/>
            <w:hideMark/>
          </w:tcPr>
          <w:p w:rsidR="00F8767B" w:rsidRPr="00CF086A" w:rsidRDefault="00F8767B" w:rsidP="00A907E6">
            <w:pPr>
              <w:keepNext/>
              <w:spacing w:after="0" w:line="240" w:lineRule="auto"/>
              <w:jc w:val="center"/>
              <w:rPr>
                <w:rFonts w:ascii="Trebuchet MS" w:eastAsia="Times New Roman" w:hAnsi="Trebuchet MS"/>
                <w:color w:val="000000"/>
                <w:sz w:val="20"/>
                <w:szCs w:val="20"/>
                <w:lang w:eastAsia="fr-FR"/>
              </w:rPr>
            </w:pPr>
            <w:r w:rsidRPr="00F8767B">
              <w:rPr>
                <w:rFonts w:ascii="Trebuchet MS" w:eastAsia="Times New Roman" w:hAnsi="Trebuchet MS"/>
                <w:color w:val="000000"/>
                <w:sz w:val="18"/>
                <w:szCs w:val="18"/>
                <w:lang w:eastAsia="fr-FR"/>
              </w:rPr>
              <w:t>Effectif des chefs de ménage occupés</w:t>
            </w:r>
          </w:p>
        </w:tc>
      </w:tr>
      <w:tr w:rsidR="00F8767B" w:rsidRPr="00CF086A" w:rsidTr="00570488">
        <w:trPr>
          <w:trHeight w:val="432"/>
          <w:tblHeader/>
        </w:trPr>
        <w:tc>
          <w:tcPr>
            <w:tcW w:w="892" w:type="pct"/>
            <w:tcBorders>
              <w:top w:val="nil"/>
              <w:bottom w:val="single" w:sz="4" w:space="0" w:color="auto"/>
            </w:tcBorders>
            <w:shd w:val="clear" w:color="auto" w:fill="auto"/>
            <w:noWrap/>
            <w:vAlign w:val="bottom"/>
            <w:hideMark/>
          </w:tcPr>
          <w:p w:rsidR="00F8767B" w:rsidRPr="00CF086A" w:rsidRDefault="00F8767B" w:rsidP="00A907E6">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418"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Agriculture Elevage Pêche et Forêt</w:t>
            </w:r>
          </w:p>
        </w:tc>
        <w:tc>
          <w:tcPr>
            <w:tcW w:w="315"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Industrie</w:t>
            </w:r>
          </w:p>
        </w:tc>
        <w:tc>
          <w:tcPr>
            <w:tcW w:w="397"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Eau, Electricité, Gaz</w:t>
            </w:r>
          </w:p>
        </w:tc>
        <w:tc>
          <w:tcPr>
            <w:tcW w:w="307"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BTP</w:t>
            </w:r>
          </w:p>
        </w:tc>
        <w:tc>
          <w:tcPr>
            <w:tcW w:w="420"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Commerce et restauration</w:t>
            </w:r>
          </w:p>
        </w:tc>
        <w:tc>
          <w:tcPr>
            <w:tcW w:w="540"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Transports et communications</w:t>
            </w:r>
          </w:p>
        </w:tc>
        <w:tc>
          <w:tcPr>
            <w:tcW w:w="372"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Banques et assurances</w:t>
            </w:r>
          </w:p>
        </w:tc>
        <w:tc>
          <w:tcPr>
            <w:tcW w:w="353"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Autres services</w:t>
            </w:r>
          </w:p>
        </w:tc>
        <w:tc>
          <w:tcPr>
            <w:tcW w:w="275" w:type="pct"/>
            <w:tcBorders>
              <w:top w:val="single" w:sz="4" w:space="0" w:color="auto"/>
              <w:bottom w:val="single" w:sz="4" w:space="0" w:color="auto"/>
              <w:right w:val="nil"/>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Non déclaré</w:t>
            </w:r>
          </w:p>
        </w:tc>
        <w:tc>
          <w:tcPr>
            <w:tcW w:w="245" w:type="pct"/>
            <w:tcBorders>
              <w:top w:val="single" w:sz="4" w:space="0" w:color="auto"/>
              <w:left w:val="nil"/>
              <w:bottom w:val="single" w:sz="4" w:space="0" w:color="auto"/>
            </w:tcBorders>
            <w:shd w:val="clear" w:color="auto" w:fill="auto"/>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p>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Total</w:t>
            </w:r>
          </w:p>
        </w:tc>
        <w:tc>
          <w:tcPr>
            <w:tcW w:w="466" w:type="pct"/>
            <w:vMerge/>
            <w:tcBorders>
              <w:bottom w:val="single" w:sz="4" w:space="0" w:color="auto"/>
            </w:tcBorders>
            <w:shd w:val="clear" w:color="auto" w:fill="auto"/>
            <w:vAlign w:val="bottom"/>
            <w:hideMark/>
          </w:tcPr>
          <w:p w:rsidR="00F8767B" w:rsidRPr="00F8767B" w:rsidRDefault="00F8767B" w:rsidP="00A907E6">
            <w:pPr>
              <w:keepNext/>
              <w:spacing w:after="0" w:line="240" w:lineRule="auto"/>
              <w:jc w:val="center"/>
              <w:rPr>
                <w:rFonts w:ascii="Trebuchet MS" w:eastAsia="Times New Roman" w:hAnsi="Trebuchet MS"/>
                <w:color w:val="000000"/>
                <w:sz w:val="18"/>
                <w:szCs w:val="18"/>
                <w:lang w:eastAsia="fr-FR"/>
              </w:rPr>
            </w:pPr>
          </w:p>
        </w:tc>
      </w:tr>
      <w:tr w:rsidR="00F8767B" w:rsidRPr="00CF086A" w:rsidTr="00570488">
        <w:trPr>
          <w:trHeight w:val="270"/>
        </w:trPr>
        <w:tc>
          <w:tcPr>
            <w:tcW w:w="892" w:type="pct"/>
            <w:shd w:val="clear" w:color="auto" w:fill="auto"/>
            <w:noWrap/>
            <w:vAlign w:val="bottom"/>
            <w:hideMark/>
          </w:tcPr>
          <w:p w:rsidR="00CE427A" w:rsidRPr="00570488" w:rsidRDefault="00CE427A" w:rsidP="000D1ABF">
            <w:pPr>
              <w:keepNext/>
              <w:spacing w:beforeLines="40" w:before="96" w:after="0" w:line="240" w:lineRule="auto"/>
              <w:rPr>
                <w:rFonts w:ascii="Trebuchet MS" w:hAnsi="Trebuchet MS"/>
                <w:b/>
                <w:color w:val="000000"/>
                <w:sz w:val="20"/>
                <w:szCs w:val="20"/>
              </w:rPr>
            </w:pPr>
            <w:r w:rsidRPr="00570488">
              <w:rPr>
                <w:rFonts w:ascii="Trebuchet MS" w:hAnsi="Trebuchet MS"/>
                <w:b/>
                <w:color w:val="000000"/>
                <w:sz w:val="20"/>
                <w:szCs w:val="20"/>
              </w:rPr>
              <w:t>Sexe du CM</w:t>
            </w:r>
          </w:p>
        </w:tc>
        <w:tc>
          <w:tcPr>
            <w:tcW w:w="418"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vAlign w:val="bottom"/>
          </w:tcPr>
          <w:p w:rsidR="00CE427A" w:rsidRPr="00CF086A"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66"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Masculin</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51,3</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2,9</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1,4</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2,8</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8,2</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6,2</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0,8</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25,7</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0,7</w:t>
            </w:r>
          </w:p>
        </w:tc>
        <w:tc>
          <w:tcPr>
            <w:tcW w:w="245" w:type="pct"/>
            <w:tcBorders>
              <w:left w:val="nil"/>
            </w:tcBorders>
            <w:shd w:val="clear" w:color="auto" w:fill="auto"/>
            <w:vAlign w:val="bottom"/>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2732</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Féminin</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24,9</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0,9</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0,6</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0,3</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48,0</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0,5</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0,2</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23,4</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1,4</w:t>
            </w:r>
          </w:p>
        </w:tc>
        <w:tc>
          <w:tcPr>
            <w:tcW w:w="245" w:type="pct"/>
            <w:tcBorders>
              <w:left w:val="nil"/>
            </w:tcBorders>
            <w:shd w:val="clear" w:color="auto" w:fill="auto"/>
            <w:vAlign w:val="bottom"/>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CF086A">
              <w:rPr>
                <w:rFonts w:ascii="Trebuchet MS" w:eastAsia="Times New Roman" w:hAnsi="Trebuchet MS"/>
                <w:color w:val="000000"/>
                <w:sz w:val="20"/>
                <w:szCs w:val="20"/>
                <w:lang w:eastAsia="fr-FR"/>
              </w:rPr>
              <w:t>663</w:t>
            </w:r>
          </w:p>
        </w:tc>
      </w:tr>
      <w:tr w:rsidR="00F8767B" w:rsidRPr="00CF086A" w:rsidTr="00570488">
        <w:trPr>
          <w:trHeight w:val="270"/>
        </w:trPr>
        <w:tc>
          <w:tcPr>
            <w:tcW w:w="892" w:type="pct"/>
            <w:shd w:val="clear" w:color="auto" w:fill="auto"/>
            <w:noWrap/>
            <w:vAlign w:val="bottom"/>
            <w:hideMark/>
          </w:tcPr>
          <w:p w:rsidR="00CE427A" w:rsidRPr="00570488" w:rsidRDefault="00CE427A" w:rsidP="000D1ABF">
            <w:pPr>
              <w:keepNext/>
              <w:spacing w:beforeLines="40" w:before="96" w:after="0" w:line="240" w:lineRule="auto"/>
              <w:rPr>
                <w:rFonts w:ascii="Trebuchet MS" w:hAnsi="Trebuchet MS"/>
                <w:b/>
                <w:color w:val="000000"/>
                <w:sz w:val="20"/>
                <w:szCs w:val="20"/>
              </w:rPr>
            </w:pPr>
            <w:r w:rsidRPr="00570488">
              <w:rPr>
                <w:rFonts w:ascii="Trebuchet MS" w:hAnsi="Trebuchet MS"/>
                <w:b/>
                <w:color w:val="000000"/>
                <w:sz w:val="20"/>
                <w:szCs w:val="20"/>
              </w:rPr>
              <w:t>Groupe d'âge du CM</w:t>
            </w:r>
          </w:p>
        </w:tc>
        <w:tc>
          <w:tcPr>
            <w:tcW w:w="418"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vAlign w:val="bottom"/>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66"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Moins de 20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28,6</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14,3</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57,1</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20-29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38,6</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14,3</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32,5</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363</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30-39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42,0</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14,6</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927</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40-49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41,9</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18,9</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25,0</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909</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50-59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48,8</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22,5</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599</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60-69 ans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58,7</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16,0</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20,1</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344</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70 ans et plus</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65,0</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10,2</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18,7</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246</w:t>
            </w:r>
          </w:p>
        </w:tc>
      </w:tr>
      <w:tr w:rsidR="00F8767B" w:rsidRPr="00CF086A" w:rsidTr="00570488">
        <w:trPr>
          <w:trHeight w:val="270"/>
        </w:trPr>
        <w:tc>
          <w:tcPr>
            <w:tcW w:w="892" w:type="pct"/>
            <w:shd w:val="clear" w:color="auto" w:fill="auto"/>
            <w:noWrap/>
            <w:vAlign w:val="bottom"/>
            <w:hideMark/>
          </w:tcPr>
          <w:p w:rsidR="00CE427A" w:rsidRPr="00570488" w:rsidRDefault="00CE427A" w:rsidP="000D1ABF">
            <w:pPr>
              <w:keepNext/>
              <w:spacing w:beforeLines="40" w:before="96" w:after="0" w:line="240" w:lineRule="auto"/>
              <w:rPr>
                <w:rFonts w:ascii="Trebuchet MS" w:hAnsi="Trebuchet MS"/>
                <w:b/>
                <w:color w:val="000000"/>
                <w:sz w:val="19"/>
                <w:szCs w:val="19"/>
              </w:rPr>
            </w:pPr>
            <w:r w:rsidRPr="00570488">
              <w:rPr>
                <w:rFonts w:ascii="Trebuchet MS" w:hAnsi="Trebuchet MS"/>
                <w:b/>
                <w:color w:val="000000"/>
                <w:sz w:val="19"/>
                <w:szCs w:val="19"/>
              </w:rPr>
              <w:t>Niveau d'instruction du CM</w:t>
            </w:r>
          </w:p>
        </w:tc>
        <w:tc>
          <w:tcPr>
            <w:tcW w:w="418"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b/>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Maternelle</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64,5</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14,5</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15,1</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Primaire</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34,9</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16,5</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31,1</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848</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Secondaire1</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23,5</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15,4</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34,6</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434</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Secondaire2</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12,1</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16,3</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47,9</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190</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Supérieur</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9,7</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62,4</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165</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Aucun</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66,3</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16,2</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1494</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Autre</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40,5</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38,1</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r>
      <w:tr w:rsidR="00F8767B" w:rsidRPr="00CF086A" w:rsidTr="00570488">
        <w:trPr>
          <w:trHeight w:val="270"/>
        </w:trPr>
        <w:tc>
          <w:tcPr>
            <w:tcW w:w="892" w:type="pct"/>
            <w:shd w:val="clear" w:color="auto" w:fill="auto"/>
            <w:noWrap/>
            <w:vAlign w:val="bottom"/>
            <w:hideMark/>
          </w:tcPr>
          <w:p w:rsidR="00CE427A" w:rsidRPr="00C13D9C" w:rsidRDefault="00CE427A" w:rsidP="000D1ABF">
            <w:pPr>
              <w:keepNext/>
              <w:spacing w:beforeLines="40" w:before="96" w:after="0" w:line="240" w:lineRule="auto"/>
              <w:ind w:left="426"/>
              <w:rPr>
                <w:rFonts w:ascii="Trebuchet MS" w:hAnsi="Trebuchet MS"/>
                <w:color w:val="000000"/>
                <w:sz w:val="20"/>
                <w:szCs w:val="20"/>
              </w:rPr>
            </w:pPr>
            <w:r w:rsidRPr="00C13D9C">
              <w:rPr>
                <w:rFonts w:ascii="Trebuchet MS" w:hAnsi="Trebuchet MS"/>
                <w:color w:val="000000"/>
                <w:sz w:val="20"/>
                <w:szCs w:val="20"/>
              </w:rPr>
              <w:t>NSP</w:t>
            </w:r>
          </w:p>
        </w:tc>
        <w:tc>
          <w:tcPr>
            <w:tcW w:w="418"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44,0</w:t>
            </w:r>
          </w:p>
        </w:tc>
        <w:tc>
          <w:tcPr>
            <w:tcW w:w="315"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9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2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12,0</w:t>
            </w:r>
          </w:p>
        </w:tc>
        <w:tc>
          <w:tcPr>
            <w:tcW w:w="540"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72"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34,0</w:t>
            </w:r>
          </w:p>
        </w:tc>
        <w:tc>
          <w:tcPr>
            <w:tcW w:w="275" w:type="pct"/>
            <w:tcBorders>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245" w:type="pct"/>
            <w:tcBorders>
              <w:left w:val="nil"/>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r>
      <w:tr w:rsidR="00F8767B" w:rsidRPr="00CF086A" w:rsidTr="00570488">
        <w:trPr>
          <w:trHeight w:val="270"/>
        </w:trPr>
        <w:tc>
          <w:tcPr>
            <w:tcW w:w="892" w:type="pct"/>
            <w:tcBorders>
              <w:top w:val="single" w:sz="4" w:space="0" w:color="auto"/>
              <w:bottom w:val="double" w:sz="4" w:space="0" w:color="auto"/>
            </w:tcBorders>
            <w:shd w:val="clear" w:color="auto" w:fill="auto"/>
            <w:noWrap/>
            <w:vAlign w:val="bottom"/>
            <w:hideMark/>
          </w:tcPr>
          <w:p w:rsidR="00CE427A" w:rsidRPr="00570488" w:rsidRDefault="00CE427A" w:rsidP="00A907E6">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Ensemble</w:t>
            </w:r>
          </w:p>
        </w:tc>
        <w:tc>
          <w:tcPr>
            <w:tcW w:w="418" w:type="pct"/>
            <w:tcBorders>
              <w:top w:val="single" w:sz="4" w:space="0" w:color="auto"/>
              <w:bottom w:val="double" w:sz="4" w:space="0" w:color="auto"/>
            </w:tcBorders>
            <w:shd w:val="clear" w:color="auto" w:fill="auto"/>
            <w:noWrap/>
            <w:vAlign w:val="bottom"/>
            <w:hideMark/>
          </w:tcPr>
          <w:p w:rsidR="00CE427A" w:rsidRPr="00570488"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46,1</w:t>
            </w:r>
          </w:p>
        </w:tc>
        <w:tc>
          <w:tcPr>
            <w:tcW w:w="315"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2,5</w:t>
            </w:r>
          </w:p>
        </w:tc>
        <w:tc>
          <w:tcPr>
            <w:tcW w:w="397"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1,2</w:t>
            </w:r>
          </w:p>
        </w:tc>
        <w:tc>
          <w:tcPr>
            <w:tcW w:w="307"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2,3</w:t>
            </w:r>
          </w:p>
        </w:tc>
        <w:tc>
          <w:tcPr>
            <w:tcW w:w="420"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16,0</w:t>
            </w:r>
          </w:p>
        </w:tc>
        <w:tc>
          <w:tcPr>
            <w:tcW w:w="540"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5,0</w:t>
            </w:r>
          </w:p>
        </w:tc>
        <w:tc>
          <w:tcPr>
            <w:tcW w:w="372"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0,7</w:t>
            </w:r>
          </w:p>
        </w:tc>
        <w:tc>
          <w:tcPr>
            <w:tcW w:w="353"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25,2</w:t>
            </w:r>
          </w:p>
        </w:tc>
        <w:tc>
          <w:tcPr>
            <w:tcW w:w="275" w:type="pct"/>
            <w:tcBorders>
              <w:top w:val="single" w:sz="4" w:space="0" w:color="auto"/>
              <w:bottom w:val="double" w:sz="4" w:space="0" w:color="auto"/>
              <w:right w:val="nil"/>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0,9</w:t>
            </w:r>
          </w:p>
        </w:tc>
        <w:tc>
          <w:tcPr>
            <w:tcW w:w="245" w:type="pct"/>
            <w:tcBorders>
              <w:top w:val="single" w:sz="4" w:space="0" w:color="auto"/>
              <w:left w:val="nil"/>
              <w:bottom w:val="double" w:sz="4" w:space="0" w:color="auto"/>
            </w:tcBorders>
            <w:shd w:val="clear" w:color="auto" w:fill="auto"/>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100,0</w:t>
            </w:r>
          </w:p>
        </w:tc>
        <w:tc>
          <w:tcPr>
            <w:tcW w:w="466" w:type="pct"/>
            <w:tcBorders>
              <w:top w:val="single" w:sz="4" w:space="0" w:color="auto"/>
              <w:bottom w:val="double" w:sz="4" w:space="0" w:color="auto"/>
            </w:tcBorders>
            <w:shd w:val="clear" w:color="auto" w:fill="auto"/>
            <w:noWrap/>
            <w:vAlign w:val="bottom"/>
            <w:hideMark/>
          </w:tcPr>
          <w:p w:rsidR="007843E6" w:rsidRDefault="00CE427A"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3395</w:t>
            </w:r>
          </w:p>
        </w:tc>
      </w:tr>
      <w:tr w:rsidR="00F8767B" w:rsidRPr="00C247B4" w:rsidTr="00570488">
        <w:trPr>
          <w:trHeight w:val="213"/>
        </w:trPr>
        <w:tc>
          <w:tcPr>
            <w:tcW w:w="5000" w:type="pct"/>
            <w:gridSpan w:val="12"/>
            <w:tcBorders>
              <w:top w:val="double" w:sz="4" w:space="0" w:color="auto"/>
              <w:bottom w:val="nil"/>
            </w:tcBorders>
            <w:shd w:val="clear" w:color="auto" w:fill="auto"/>
            <w:noWrap/>
            <w:vAlign w:val="bottom"/>
            <w:hideMark/>
          </w:tcPr>
          <w:p w:rsidR="00F8767B" w:rsidRPr="00570488" w:rsidRDefault="00F8767B" w:rsidP="00A907E6">
            <w:pPr>
              <w:keepNext/>
              <w:spacing w:after="0" w:line="240" w:lineRule="auto"/>
              <w:rPr>
                <w:rFonts w:ascii="Trebuchet MS" w:eastAsia="Times New Roman" w:hAnsi="Trebuchet MS" w:cs="Arial"/>
                <w:b/>
                <w:color w:val="000000"/>
                <w:sz w:val="20"/>
                <w:szCs w:val="20"/>
                <w:lang w:eastAsia="fr-FR"/>
              </w:rPr>
            </w:pPr>
            <w:r w:rsidRPr="00570488">
              <w:rPr>
                <w:rFonts w:ascii="Trebuchet MS" w:hAnsi="Trebuchet MS" w:cs="Arial"/>
                <w:b/>
                <w:bCs/>
                <w:color w:val="000000"/>
                <w:sz w:val="20"/>
              </w:rPr>
              <w:t>Source : ECEB, INSAE, 2015</w:t>
            </w:r>
          </w:p>
        </w:tc>
      </w:tr>
    </w:tbl>
    <w:p w:rsidR="00DA1258" w:rsidRDefault="00DA1258" w:rsidP="00B811FE">
      <w:pPr>
        <w:rPr>
          <w:rFonts w:ascii="Trebuchet MS" w:hAnsi="Trebuchet MS"/>
        </w:rPr>
        <w:sectPr w:rsidR="00DA1258" w:rsidSect="00CF086A">
          <w:pgSz w:w="16838" w:h="11906" w:orient="landscape"/>
          <w:pgMar w:top="1418" w:right="1383" w:bottom="1418" w:left="851" w:header="567" w:footer="0" w:gutter="0"/>
          <w:cols w:space="708"/>
          <w:docGrid w:linePitch="360"/>
        </w:sectPr>
      </w:pPr>
    </w:p>
    <w:p w:rsidR="00F8767B" w:rsidRPr="0073299A" w:rsidRDefault="009F2DB6" w:rsidP="00F03E08">
      <w:pPr>
        <w:pStyle w:val="Titre4"/>
        <w:numPr>
          <w:ilvl w:val="2"/>
          <w:numId w:val="6"/>
        </w:numPr>
      </w:pPr>
      <w:bookmarkStart w:id="127" w:name="_Toc425961646"/>
      <w:bookmarkStart w:id="128" w:name="_Toc426359440"/>
      <w:r w:rsidRPr="0073299A">
        <w:t>R</w:t>
      </w:r>
      <w:r w:rsidR="00DA1258" w:rsidRPr="0073299A">
        <w:t>evenu</w:t>
      </w:r>
      <w:r w:rsidR="000F51D2">
        <w:t>s</w:t>
      </w:r>
      <w:r w:rsidR="00DA1258" w:rsidRPr="0073299A">
        <w:t xml:space="preserve"> mensuel</w:t>
      </w:r>
      <w:r w:rsidR="000F51D2">
        <w:t>s</w:t>
      </w:r>
      <w:r w:rsidR="00DA1258" w:rsidRPr="0073299A">
        <w:t xml:space="preserve"> d</w:t>
      </w:r>
      <w:r w:rsidR="00A130D6" w:rsidRPr="0073299A">
        <w:t xml:space="preserve">es </w:t>
      </w:r>
      <w:r w:rsidR="00DA1258" w:rsidRPr="0073299A">
        <w:t>chef</w:t>
      </w:r>
      <w:r w:rsidR="00A130D6" w:rsidRPr="0073299A">
        <w:t>s</w:t>
      </w:r>
      <w:r w:rsidR="00DA1258" w:rsidRPr="0073299A">
        <w:t xml:space="preserve"> de ménage</w:t>
      </w:r>
      <w:bookmarkEnd w:id="127"/>
      <w:bookmarkEnd w:id="128"/>
    </w:p>
    <w:p w:rsidR="00DA1258" w:rsidRPr="00DA1258" w:rsidRDefault="001954BB" w:rsidP="00DA1258">
      <w:pPr>
        <w:jc w:val="both"/>
        <w:rPr>
          <w:rFonts w:ascii="Trebuchet MS" w:hAnsi="Trebuchet MS"/>
        </w:rPr>
      </w:pPr>
      <w:r>
        <w:rPr>
          <w:rFonts w:ascii="Trebuchet MS" w:hAnsi="Trebuchet MS"/>
        </w:rPr>
        <w:t xml:space="preserve">Les résultats du tableau ci-après font ressortir </w:t>
      </w:r>
      <w:r w:rsidR="00DA1258" w:rsidRPr="00DA1258">
        <w:rPr>
          <w:rFonts w:ascii="Trebuchet MS" w:hAnsi="Trebuchet MS"/>
        </w:rPr>
        <w:t xml:space="preserve">que dans l’ensemble, le revenu moyen mensuel du chef de ménage </w:t>
      </w:r>
      <w:r>
        <w:rPr>
          <w:rFonts w:ascii="Trebuchet MS" w:hAnsi="Trebuchet MS"/>
        </w:rPr>
        <w:t>estestimé à</w:t>
      </w:r>
      <w:r w:rsidR="00DA1258" w:rsidRPr="00DA1258">
        <w:rPr>
          <w:rFonts w:ascii="Trebuchet MS" w:hAnsi="Trebuchet MS"/>
        </w:rPr>
        <w:t xml:space="preserve"> 82</w:t>
      </w:r>
      <w:r w:rsidR="00A130D6">
        <w:rPr>
          <w:rFonts w:ascii="Trebuchet MS" w:hAnsi="Trebuchet MS"/>
        </w:rPr>
        <w:t> </w:t>
      </w:r>
      <w:r>
        <w:rPr>
          <w:rFonts w:ascii="Trebuchet MS" w:hAnsi="Trebuchet MS"/>
        </w:rPr>
        <w:t xml:space="preserve">274 FCFA. </w:t>
      </w:r>
      <w:r w:rsidR="00DA1258" w:rsidRPr="00DA1258">
        <w:rPr>
          <w:rFonts w:ascii="Trebuchet MS" w:hAnsi="Trebuchet MS"/>
        </w:rPr>
        <w:t xml:space="preserve">Seulement 9,4% des chefs de ménage ont un salaire fixe à la fin du mois contre 37,8% qui gagnent leur revenu à directement à la tâche. Aussi 29,8% tire leur revenu mensuel des bénéfices. Une très faible proportion (soit 1,6%) de chefs de ménage tire leur revenu mensuel du travail à la commission. </w:t>
      </w:r>
    </w:p>
    <w:p w:rsidR="00DA1258" w:rsidRPr="00DA1258" w:rsidRDefault="001954BB" w:rsidP="00DA1258">
      <w:pPr>
        <w:jc w:val="both"/>
        <w:rPr>
          <w:rFonts w:ascii="Trebuchet MS" w:hAnsi="Trebuchet MS"/>
        </w:rPr>
      </w:pPr>
      <w:r>
        <w:rPr>
          <w:rFonts w:ascii="Trebuchet MS" w:hAnsi="Trebuchet MS"/>
        </w:rPr>
        <w:t xml:space="preserve">L’analyse selon les départements révèle que </w:t>
      </w:r>
      <w:r w:rsidR="00DA1258" w:rsidRPr="00DA1258">
        <w:rPr>
          <w:rFonts w:ascii="Trebuchet MS" w:hAnsi="Trebuchet MS"/>
        </w:rPr>
        <w:t>le revenu mensuel moyen est plus élevé dans les départements de la Donga</w:t>
      </w:r>
      <w:r>
        <w:rPr>
          <w:rFonts w:ascii="Trebuchet MS" w:hAnsi="Trebuchet MS"/>
        </w:rPr>
        <w:t xml:space="preserve"> (</w:t>
      </w:r>
      <w:r w:rsidRPr="00DA1258">
        <w:rPr>
          <w:rFonts w:ascii="Trebuchet MS" w:hAnsi="Trebuchet MS"/>
        </w:rPr>
        <w:t>133</w:t>
      </w:r>
      <w:r w:rsidR="002222D1">
        <w:rPr>
          <w:rFonts w:ascii="Trebuchet MS" w:hAnsi="Trebuchet MS"/>
        </w:rPr>
        <w:t> </w:t>
      </w:r>
      <w:r w:rsidRPr="00DA1258">
        <w:rPr>
          <w:rFonts w:ascii="Trebuchet MS" w:hAnsi="Trebuchet MS"/>
        </w:rPr>
        <w:t>118 FCFA</w:t>
      </w:r>
      <w:r>
        <w:rPr>
          <w:rFonts w:ascii="Trebuchet MS" w:hAnsi="Trebuchet MS"/>
        </w:rPr>
        <w:t>)</w:t>
      </w:r>
      <w:r w:rsidR="00DA1258" w:rsidRPr="00DA1258">
        <w:rPr>
          <w:rFonts w:ascii="Trebuchet MS" w:hAnsi="Trebuchet MS"/>
        </w:rPr>
        <w:t>, du Littoral</w:t>
      </w:r>
      <w:r>
        <w:rPr>
          <w:rFonts w:ascii="Trebuchet MS" w:hAnsi="Trebuchet MS"/>
        </w:rPr>
        <w:t xml:space="preserve"> (</w:t>
      </w:r>
      <w:r w:rsidRPr="00DA1258">
        <w:rPr>
          <w:rFonts w:ascii="Trebuchet MS" w:hAnsi="Trebuchet MS"/>
        </w:rPr>
        <w:t>129</w:t>
      </w:r>
      <w:r w:rsidR="002222D1">
        <w:rPr>
          <w:rFonts w:ascii="Trebuchet MS" w:hAnsi="Trebuchet MS"/>
        </w:rPr>
        <w:t> </w:t>
      </w:r>
      <w:r w:rsidRPr="00DA1258">
        <w:rPr>
          <w:rFonts w:ascii="Trebuchet MS" w:hAnsi="Trebuchet MS"/>
        </w:rPr>
        <w:t>551FCFA</w:t>
      </w:r>
      <w:r>
        <w:rPr>
          <w:rFonts w:ascii="Trebuchet MS" w:hAnsi="Trebuchet MS"/>
        </w:rPr>
        <w:t xml:space="preserve">) </w:t>
      </w:r>
      <w:r w:rsidR="00DA1258" w:rsidRPr="00DA1258">
        <w:rPr>
          <w:rFonts w:ascii="Trebuchet MS" w:hAnsi="Trebuchet MS"/>
        </w:rPr>
        <w:t>et du Plate</w:t>
      </w:r>
      <w:r>
        <w:rPr>
          <w:rFonts w:ascii="Trebuchet MS" w:hAnsi="Trebuchet MS"/>
        </w:rPr>
        <w:t>au (</w:t>
      </w:r>
      <w:r w:rsidR="00DA1258" w:rsidRPr="00DA1258">
        <w:rPr>
          <w:rFonts w:ascii="Trebuchet MS" w:hAnsi="Trebuchet MS"/>
        </w:rPr>
        <w:t>103</w:t>
      </w:r>
      <w:r w:rsidR="002222D1">
        <w:rPr>
          <w:rFonts w:ascii="Trebuchet MS" w:hAnsi="Trebuchet MS"/>
        </w:rPr>
        <w:t> </w:t>
      </w:r>
      <w:r w:rsidR="00DA1258" w:rsidRPr="00DA1258">
        <w:rPr>
          <w:rFonts w:ascii="Trebuchet MS" w:hAnsi="Trebuchet MS"/>
        </w:rPr>
        <w:t>372 FCFA</w:t>
      </w:r>
      <w:r>
        <w:rPr>
          <w:rFonts w:ascii="Trebuchet MS" w:hAnsi="Trebuchet MS"/>
        </w:rPr>
        <w:t>)</w:t>
      </w:r>
      <w:r w:rsidR="00DA1258" w:rsidRPr="00DA1258">
        <w:rPr>
          <w:rFonts w:ascii="Trebuchet MS" w:hAnsi="Trebuchet MS"/>
        </w:rPr>
        <w:t>. Par contre les revenus sont plus bas dans les départements du zou (58651 FCFA), dans les Collines (61</w:t>
      </w:r>
      <w:r w:rsidR="002222D1">
        <w:rPr>
          <w:rFonts w:ascii="Trebuchet MS" w:hAnsi="Trebuchet MS"/>
        </w:rPr>
        <w:t> </w:t>
      </w:r>
      <w:r w:rsidR="00DA1258" w:rsidRPr="00DA1258">
        <w:rPr>
          <w:rFonts w:ascii="Trebuchet MS" w:hAnsi="Trebuchet MS"/>
        </w:rPr>
        <w:t>619 FCFA), dans le Couffo  (67</w:t>
      </w:r>
      <w:r w:rsidR="002222D1">
        <w:rPr>
          <w:rFonts w:ascii="Trebuchet MS" w:hAnsi="Trebuchet MS"/>
        </w:rPr>
        <w:t> </w:t>
      </w:r>
      <w:r w:rsidR="00DA1258" w:rsidRPr="00DA1258">
        <w:rPr>
          <w:rFonts w:ascii="Trebuchet MS" w:hAnsi="Trebuchet MS"/>
        </w:rPr>
        <w:t>479 FCFA) et dans le Borgou (67</w:t>
      </w:r>
      <w:r w:rsidR="002222D1">
        <w:rPr>
          <w:rFonts w:ascii="Trebuchet MS" w:hAnsi="Trebuchet MS"/>
        </w:rPr>
        <w:t> </w:t>
      </w:r>
      <w:r w:rsidR="00DA1258" w:rsidRPr="00DA1258">
        <w:rPr>
          <w:rFonts w:ascii="Trebuchet MS" w:hAnsi="Trebuchet MS"/>
        </w:rPr>
        <w:t xml:space="preserve">812 FCFA). </w:t>
      </w:r>
      <w:r w:rsidR="002222D1">
        <w:rPr>
          <w:rFonts w:ascii="Trebuchet MS" w:hAnsi="Trebuchet MS"/>
        </w:rPr>
        <w:t>En dehors de l’Ouémé</w:t>
      </w:r>
      <w:r w:rsidR="002222D1" w:rsidRPr="00DA1258">
        <w:rPr>
          <w:rFonts w:ascii="Trebuchet MS" w:hAnsi="Trebuchet MS"/>
        </w:rPr>
        <w:t xml:space="preserve">où </w:t>
      </w:r>
      <w:r w:rsidR="002222D1">
        <w:rPr>
          <w:rFonts w:ascii="Trebuchet MS" w:hAnsi="Trebuchet MS"/>
        </w:rPr>
        <w:t>l</w:t>
      </w:r>
      <w:r w:rsidR="002222D1" w:rsidRPr="00DA1258">
        <w:rPr>
          <w:rFonts w:ascii="Trebuchet MS" w:hAnsi="Trebuchet MS"/>
        </w:rPr>
        <w:t>e revenu</w:t>
      </w:r>
      <w:r w:rsidR="002222D1">
        <w:rPr>
          <w:rFonts w:ascii="Trebuchet MS" w:hAnsi="Trebuchet MS"/>
        </w:rPr>
        <w:t xml:space="preserve"> moyen mensuel</w:t>
      </w:r>
      <w:r w:rsidR="002222D1" w:rsidRPr="00DA1258">
        <w:rPr>
          <w:rFonts w:ascii="Trebuchet MS" w:hAnsi="Trebuchet MS"/>
        </w:rPr>
        <w:t xml:space="preserve"> est </w:t>
      </w:r>
      <w:r w:rsidR="002222D1">
        <w:rPr>
          <w:rFonts w:ascii="Trebuchet MS" w:hAnsi="Trebuchet MS"/>
        </w:rPr>
        <w:t xml:space="preserve">estimé à </w:t>
      </w:r>
      <w:r w:rsidR="002222D1" w:rsidRPr="00DA1258">
        <w:rPr>
          <w:rFonts w:ascii="Trebuchet MS" w:hAnsi="Trebuchet MS"/>
        </w:rPr>
        <w:t>81</w:t>
      </w:r>
      <w:r w:rsidR="002222D1">
        <w:rPr>
          <w:rFonts w:ascii="Trebuchet MS" w:hAnsi="Trebuchet MS"/>
        </w:rPr>
        <w:t> </w:t>
      </w:r>
      <w:r w:rsidR="002222D1" w:rsidRPr="00DA1258">
        <w:rPr>
          <w:rFonts w:ascii="Trebuchet MS" w:hAnsi="Trebuchet MS"/>
        </w:rPr>
        <w:t>809</w:t>
      </w:r>
      <w:r w:rsidR="002222D1">
        <w:rPr>
          <w:rFonts w:ascii="Trebuchet MS" w:hAnsi="Trebuchet MS"/>
        </w:rPr>
        <w:t xml:space="preserve"> FCFA </w:t>
      </w:r>
      <w:r w:rsidR="002222D1" w:rsidRPr="00DA1258">
        <w:rPr>
          <w:rFonts w:ascii="Trebuchet MS" w:hAnsi="Trebuchet MS"/>
        </w:rPr>
        <w:t>(légèrement inférieur à 82</w:t>
      </w:r>
      <w:r w:rsidR="002222D1">
        <w:rPr>
          <w:rFonts w:ascii="Trebuchet MS" w:hAnsi="Trebuchet MS"/>
        </w:rPr>
        <w:t> </w:t>
      </w:r>
      <w:r w:rsidR="002222D1" w:rsidRPr="00DA1258">
        <w:rPr>
          <w:rFonts w:ascii="Trebuchet MS" w:hAnsi="Trebuchet MS"/>
        </w:rPr>
        <w:t>274 FCFA</w:t>
      </w:r>
      <w:r w:rsidR="002222D1">
        <w:rPr>
          <w:rFonts w:ascii="Trebuchet MS" w:hAnsi="Trebuchet MS"/>
        </w:rPr>
        <w:t>,d</w:t>
      </w:r>
      <w:r w:rsidR="00DA1258" w:rsidRPr="00DA1258">
        <w:rPr>
          <w:rFonts w:ascii="Trebuchet MS" w:hAnsi="Trebuchet MS"/>
        </w:rPr>
        <w:t>ans les autres départements, le</w:t>
      </w:r>
      <w:r>
        <w:rPr>
          <w:rFonts w:ascii="Trebuchet MS" w:hAnsi="Trebuchet MS"/>
        </w:rPr>
        <w:t>s</w:t>
      </w:r>
      <w:r w:rsidR="00DA1258" w:rsidRPr="00DA1258">
        <w:rPr>
          <w:rFonts w:ascii="Trebuchet MS" w:hAnsi="Trebuchet MS"/>
        </w:rPr>
        <w:t xml:space="preserve"> revenu</w:t>
      </w:r>
      <w:r>
        <w:rPr>
          <w:rFonts w:ascii="Trebuchet MS" w:hAnsi="Trebuchet MS"/>
        </w:rPr>
        <w:t xml:space="preserve">smoyens mensuelssont </w:t>
      </w:r>
      <w:r w:rsidR="00DA1258" w:rsidRPr="00DA1258">
        <w:rPr>
          <w:rFonts w:ascii="Trebuchet MS" w:hAnsi="Trebuchet MS"/>
        </w:rPr>
        <w:t xml:space="preserve">au-dessus </w:t>
      </w:r>
      <w:r w:rsidR="002222D1">
        <w:rPr>
          <w:rFonts w:ascii="Trebuchet MS" w:hAnsi="Trebuchet MS"/>
        </w:rPr>
        <w:t>de la moyenne de l’échantillon</w:t>
      </w:r>
      <w:r w:rsidR="00DA1258" w:rsidRPr="00DA1258">
        <w:rPr>
          <w:rFonts w:ascii="Trebuchet MS" w:hAnsi="Trebuchet MS"/>
        </w:rPr>
        <w:t xml:space="preserve">). </w:t>
      </w:r>
      <w:r w:rsidR="002222D1">
        <w:rPr>
          <w:rFonts w:ascii="Trebuchet MS" w:hAnsi="Trebuchet MS"/>
        </w:rPr>
        <w:t xml:space="preserve">Par rapport aux </w:t>
      </w:r>
      <w:r w:rsidR="00DA1258" w:rsidRPr="00DA1258">
        <w:rPr>
          <w:rFonts w:ascii="Trebuchet MS" w:hAnsi="Trebuchet MS"/>
        </w:rPr>
        <w:t>source</w:t>
      </w:r>
      <w:r w:rsidR="002222D1">
        <w:rPr>
          <w:rFonts w:ascii="Trebuchet MS" w:hAnsi="Trebuchet MS"/>
        </w:rPr>
        <w:t>s</w:t>
      </w:r>
      <w:r w:rsidR="00DA1258" w:rsidRPr="00DA1258">
        <w:rPr>
          <w:rFonts w:ascii="Trebuchet MS" w:hAnsi="Trebuchet MS"/>
        </w:rPr>
        <w:t xml:space="preserve"> d</w:t>
      </w:r>
      <w:r w:rsidR="002222D1">
        <w:rPr>
          <w:rFonts w:ascii="Trebuchet MS" w:hAnsi="Trebuchet MS"/>
        </w:rPr>
        <w:t>e</w:t>
      </w:r>
      <w:r w:rsidR="00DA1258" w:rsidRPr="00DA1258">
        <w:rPr>
          <w:rFonts w:ascii="Trebuchet MS" w:hAnsi="Trebuchet MS"/>
        </w:rPr>
        <w:t xml:space="preserve"> revenu, on remarque que c’est dans les départements du Littoral </w:t>
      </w:r>
      <w:r w:rsidR="002222D1">
        <w:rPr>
          <w:rFonts w:ascii="Trebuchet MS" w:hAnsi="Trebuchet MS"/>
        </w:rPr>
        <w:t>(</w:t>
      </w:r>
      <w:r w:rsidR="002222D1" w:rsidRPr="00DA1258">
        <w:rPr>
          <w:rFonts w:ascii="Trebuchet MS" w:hAnsi="Trebuchet MS"/>
        </w:rPr>
        <w:t>23,8%</w:t>
      </w:r>
      <w:r w:rsidR="002222D1">
        <w:rPr>
          <w:rFonts w:ascii="Trebuchet MS" w:hAnsi="Trebuchet MS"/>
        </w:rPr>
        <w:t>)</w:t>
      </w:r>
      <w:r w:rsidR="00DA1258" w:rsidRPr="00DA1258">
        <w:rPr>
          <w:rFonts w:ascii="Trebuchet MS" w:hAnsi="Trebuchet MS"/>
        </w:rPr>
        <w:t>et de l’Atlantique</w:t>
      </w:r>
      <w:r w:rsidR="002222D1">
        <w:rPr>
          <w:rFonts w:ascii="Trebuchet MS" w:hAnsi="Trebuchet MS"/>
        </w:rPr>
        <w:t xml:space="preserve"> (</w:t>
      </w:r>
      <w:r w:rsidR="002222D1" w:rsidRPr="00DA1258">
        <w:rPr>
          <w:rFonts w:ascii="Trebuchet MS" w:hAnsi="Trebuchet MS"/>
        </w:rPr>
        <w:t>14,6</w:t>
      </w:r>
      <w:r w:rsidR="002222D1">
        <w:rPr>
          <w:rFonts w:ascii="Trebuchet MS" w:hAnsi="Trebuchet MS"/>
        </w:rPr>
        <w:t>%)</w:t>
      </w:r>
      <w:r w:rsidR="00DA1258" w:rsidRPr="00DA1258">
        <w:rPr>
          <w:rFonts w:ascii="Trebuchet MS" w:hAnsi="Trebuchet MS"/>
        </w:rPr>
        <w:t xml:space="preserve"> que les proportions de chefs de ménage tirant leur revenu d’un salaire fixe sont les plus élevées. Dans les départements de l’Ouémé, du Plateau et du Zou, plus d’un ménage sur deux gagnent leur revenu mensuel directement à la tâche (54,2%, 56,9% et 53,9% respectivement). Dans les départements de l’Alibori et la Donga, respectivement 48,3% des chefs de ménages contre 48,6% gagnent leur revenu des bénéfices.</w:t>
      </w:r>
    </w:p>
    <w:p w:rsidR="00DA1258" w:rsidRPr="00DA1258" w:rsidRDefault="002222D1" w:rsidP="00DA1258">
      <w:pPr>
        <w:jc w:val="both"/>
        <w:rPr>
          <w:rFonts w:ascii="Trebuchet MS" w:hAnsi="Trebuchet MS"/>
        </w:rPr>
      </w:pPr>
      <w:r>
        <w:rPr>
          <w:rFonts w:ascii="Trebuchet MS" w:hAnsi="Trebuchet MS"/>
        </w:rPr>
        <w:t>Selon l</w:t>
      </w:r>
      <w:r w:rsidR="00DA1258" w:rsidRPr="00DA1258">
        <w:rPr>
          <w:rFonts w:ascii="Trebuchet MS" w:hAnsi="Trebuchet MS"/>
        </w:rPr>
        <w:t>e milieu de résidence, on ne note pas d’écart significatif entre le revenu moyen mensuel du milieu rural et celui du milieu urbain. En effet, ce revenu est de 81</w:t>
      </w:r>
      <w:r>
        <w:rPr>
          <w:rFonts w:ascii="Trebuchet MS" w:hAnsi="Trebuchet MS"/>
        </w:rPr>
        <w:t> </w:t>
      </w:r>
      <w:r w:rsidR="00DA1258" w:rsidRPr="00DA1258">
        <w:rPr>
          <w:rFonts w:ascii="Trebuchet MS" w:hAnsi="Trebuchet MS"/>
        </w:rPr>
        <w:t>273 FCFA en milieu urbain contre 82</w:t>
      </w:r>
      <w:r w:rsidR="00DC2869">
        <w:rPr>
          <w:rFonts w:ascii="Trebuchet MS" w:hAnsi="Trebuchet MS"/>
        </w:rPr>
        <w:t> </w:t>
      </w:r>
      <w:r w:rsidR="00DA1258" w:rsidRPr="00DA1258">
        <w:rPr>
          <w:rFonts w:ascii="Trebuchet MS" w:hAnsi="Trebuchet MS"/>
        </w:rPr>
        <w:t xml:space="preserve">930 FCFA </w:t>
      </w:r>
      <w:r w:rsidR="00DC2869">
        <w:rPr>
          <w:rFonts w:ascii="Trebuchet MS" w:hAnsi="Trebuchet MS"/>
        </w:rPr>
        <w:t xml:space="preserve">en milieu rural, </w:t>
      </w:r>
      <w:r w:rsidR="00DA1258" w:rsidRPr="00DA1258">
        <w:rPr>
          <w:rFonts w:ascii="Trebuchet MS" w:hAnsi="Trebuchet MS"/>
        </w:rPr>
        <w:t>soit un écart de 1</w:t>
      </w:r>
      <w:r w:rsidR="00DC2869">
        <w:rPr>
          <w:rFonts w:ascii="Trebuchet MS" w:hAnsi="Trebuchet MS"/>
        </w:rPr>
        <w:t> </w:t>
      </w:r>
      <w:r w:rsidR="00DA1258" w:rsidRPr="00DA1258">
        <w:rPr>
          <w:rFonts w:ascii="Trebuchet MS" w:hAnsi="Trebuchet MS"/>
        </w:rPr>
        <w:t xml:space="preserve">657 FCFA. Quant à la source du revenu, on constate que 15% des chefs de ménage </w:t>
      </w:r>
      <w:r w:rsidR="00DC2869" w:rsidRPr="00DA1258">
        <w:rPr>
          <w:rFonts w:ascii="Trebuchet MS" w:hAnsi="Trebuchet MS"/>
        </w:rPr>
        <w:t xml:space="preserve">en milieu urbain </w:t>
      </w:r>
      <w:r w:rsidR="00DC2869">
        <w:rPr>
          <w:rFonts w:ascii="Trebuchet MS" w:hAnsi="Trebuchet MS"/>
        </w:rPr>
        <w:t>ont</w:t>
      </w:r>
      <w:r w:rsidR="00DA1258" w:rsidRPr="00DA1258">
        <w:rPr>
          <w:rFonts w:ascii="Trebuchet MS" w:hAnsi="Trebuchet MS"/>
        </w:rPr>
        <w:t xml:space="preserve"> un salaire </w:t>
      </w:r>
      <w:r w:rsidR="00DC2869" w:rsidRPr="00DA1258">
        <w:rPr>
          <w:rFonts w:ascii="Trebuchet MS" w:hAnsi="Trebuchet MS"/>
        </w:rPr>
        <w:t xml:space="preserve">mensuel </w:t>
      </w:r>
      <w:r w:rsidR="00DC2869">
        <w:rPr>
          <w:rFonts w:ascii="Trebuchet MS" w:hAnsi="Trebuchet MS"/>
        </w:rPr>
        <w:t xml:space="preserve">fixe </w:t>
      </w:r>
      <w:r w:rsidR="00DC2869" w:rsidRPr="00DA1258">
        <w:rPr>
          <w:rFonts w:ascii="Trebuchet MS" w:hAnsi="Trebuchet MS"/>
        </w:rPr>
        <w:t xml:space="preserve">contre </w:t>
      </w:r>
      <w:r w:rsidR="00DA1258" w:rsidRPr="00DA1258">
        <w:rPr>
          <w:rFonts w:ascii="Trebuchet MS" w:hAnsi="Trebuchet MS"/>
        </w:rPr>
        <w:t xml:space="preserve">seulement 5,7% </w:t>
      </w:r>
      <w:r w:rsidR="00DC2869">
        <w:rPr>
          <w:rFonts w:ascii="Trebuchet MS" w:hAnsi="Trebuchet MS"/>
        </w:rPr>
        <w:t xml:space="preserve">pour le </w:t>
      </w:r>
      <w:r w:rsidR="00DA1258" w:rsidRPr="00DA1258">
        <w:rPr>
          <w:rFonts w:ascii="Trebuchet MS" w:hAnsi="Trebuchet MS"/>
        </w:rPr>
        <w:t xml:space="preserve">milieu rural. </w:t>
      </w:r>
    </w:p>
    <w:p w:rsidR="00F03975" w:rsidRDefault="00A130D6" w:rsidP="00A130D6">
      <w:pPr>
        <w:jc w:val="both"/>
        <w:rPr>
          <w:rFonts w:ascii="Trebuchet MS" w:hAnsi="Trebuchet MS"/>
        </w:rPr>
      </w:pPr>
      <w:r w:rsidRPr="00E56839">
        <w:rPr>
          <w:rFonts w:ascii="Trebuchet MS" w:hAnsi="Trebuchet MS"/>
        </w:rPr>
        <w:t xml:space="preserve">Par rapport au sexe du chef de ménage, il existe un écart important entre le revenu moyen mensuel des hommes et celui des femmes. </w:t>
      </w:r>
      <w:r w:rsidR="00DC2869">
        <w:rPr>
          <w:rFonts w:ascii="Trebuchet MS" w:hAnsi="Trebuchet MS"/>
        </w:rPr>
        <w:t>En effet, l</w:t>
      </w:r>
      <w:r w:rsidRPr="00E56839">
        <w:rPr>
          <w:rFonts w:ascii="Trebuchet MS" w:hAnsi="Trebuchet MS"/>
        </w:rPr>
        <w:t xml:space="preserve">e revenu </w:t>
      </w:r>
      <w:r w:rsidR="00DC2869">
        <w:rPr>
          <w:rFonts w:ascii="Trebuchet MS" w:hAnsi="Trebuchet MS"/>
        </w:rPr>
        <w:t xml:space="preserve">mensuel moyen des chefs de ménage hommes </w:t>
      </w:r>
      <w:r w:rsidRPr="00E56839">
        <w:rPr>
          <w:rFonts w:ascii="Trebuchet MS" w:hAnsi="Trebuchet MS"/>
        </w:rPr>
        <w:t>est</w:t>
      </w:r>
      <w:r w:rsidR="00DC2869">
        <w:rPr>
          <w:rFonts w:ascii="Trebuchet MS" w:hAnsi="Trebuchet MS"/>
        </w:rPr>
        <w:t xml:space="preserve"> estimé à </w:t>
      </w:r>
      <w:r w:rsidRPr="00E56839">
        <w:rPr>
          <w:rFonts w:ascii="Trebuchet MS" w:hAnsi="Trebuchet MS"/>
        </w:rPr>
        <w:t>88</w:t>
      </w:r>
      <w:r w:rsidR="00DC2869">
        <w:rPr>
          <w:rFonts w:ascii="Trebuchet MS" w:hAnsi="Trebuchet MS"/>
        </w:rPr>
        <w:t> </w:t>
      </w:r>
      <w:r w:rsidRPr="00E56839">
        <w:rPr>
          <w:rFonts w:ascii="Trebuchet MS" w:hAnsi="Trebuchet MS"/>
        </w:rPr>
        <w:t>663</w:t>
      </w:r>
      <w:r w:rsidR="00DC2869">
        <w:rPr>
          <w:rFonts w:ascii="Trebuchet MS" w:hAnsi="Trebuchet MS"/>
        </w:rPr>
        <w:t> </w:t>
      </w:r>
      <w:r w:rsidRPr="00E56839">
        <w:rPr>
          <w:rFonts w:ascii="Trebuchet MS" w:hAnsi="Trebuchet MS"/>
        </w:rPr>
        <w:t>FCFA contre 55</w:t>
      </w:r>
      <w:r w:rsidR="00DC2869">
        <w:rPr>
          <w:rFonts w:ascii="Trebuchet MS" w:hAnsi="Trebuchet MS"/>
        </w:rPr>
        <w:t> 586 </w:t>
      </w:r>
      <w:r w:rsidRPr="00E56839">
        <w:rPr>
          <w:rFonts w:ascii="Trebuchet MS" w:hAnsi="Trebuchet MS"/>
        </w:rPr>
        <w:t xml:space="preserve">FCFA </w:t>
      </w:r>
      <w:r w:rsidR="00DC2869">
        <w:rPr>
          <w:rFonts w:ascii="Trebuchet MS" w:hAnsi="Trebuchet MS"/>
        </w:rPr>
        <w:t>pour les chefs de ménage femmes,</w:t>
      </w:r>
      <w:r w:rsidRPr="00E56839">
        <w:rPr>
          <w:rFonts w:ascii="Trebuchet MS" w:hAnsi="Trebuchet MS"/>
        </w:rPr>
        <w:t xml:space="preserve"> soit un écart de  33</w:t>
      </w:r>
      <w:r w:rsidR="00DC2869">
        <w:rPr>
          <w:rFonts w:ascii="Trebuchet MS" w:hAnsi="Trebuchet MS"/>
        </w:rPr>
        <w:t> </w:t>
      </w:r>
      <w:r w:rsidRPr="00E56839">
        <w:rPr>
          <w:rFonts w:ascii="Trebuchet MS" w:hAnsi="Trebuchet MS"/>
        </w:rPr>
        <w:t xml:space="preserve">077 FCFA. Pour ce qui concerne la source du revenu, 10,7% des hommes tirent leur revenu mensuel d’un salaire fixe mensuel contre 4,1% des femmes. Par contre, la proportion des femmes constituant leur revenu à partir de bénéfice est plus forte que celle des hommes constituant leur revenu de la même manière. Cette proportion est </w:t>
      </w:r>
      <w:r w:rsidR="00DC2869">
        <w:rPr>
          <w:rFonts w:ascii="Trebuchet MS" w:hAnsi="Trebuchet MS"/>
        </w:rPr>
        <w:t>estimée à</w:t>
      </w:r>
      <w:r w:rsidRPr="00E56839">
        <w:rPr>
          <w:rFonts w:ascii="Trebuchet MS" w:hAnsi="Trebuchet MS"/>
        </w:rPr>
        <w:t xml:space="preserve"> 34,8% chez les femmes contre 28,6% chez les hommes. </w:t>
      </w:r>
    </w:p>
    <w:p w:rsidR="00A130D6" w:rsidRPr="00E56839" w:rsidRDefault="00A130D6" w:rsidP="00A130D6">
      <w:pPr>
        <w:jc w:val="both"/>
        <w:rPr>
          <w:rFonts w:ascii="Trebuchet MS" w:hAnsi="Trebuchet MS"/>
        </w:rPr>
      </w:pPr>
    </w:p>
    <w:p w:rsidR="00DA1258" w:rsidRDefault="00DA1258" w:rsidP="00B811FE">
      <w:pPr>
        <w:rPr>
          <w:rFonts w:ascii="Trebuchet MS" w:hAnsi="Trebuchet MS"/>
        </w:rPr>
        <w:sectPr w:rsidR="00DA1258" w:rsidSect="00DA1258">
          <w:pgSz w:w="11906" w:h="16838"/>
          <w:pgMar w:top="1383" w:right="1418" w:bottom="851" w:left="1418" w:header="567" w:footer="0" w:gutter="0"/>
          <w:cols w:space="708"/>
          <w:docGrid w:linePitch="360"/>
        </w:sectPr>
      </w:pPr>
    </w:p>
    <w:p w:rsidR="00B53EF9" w:rsidRPr="00570488" w:rsidRDefault="00570488" w:rsidP="000E4111">
      <w:pPr>
        <w:keepNext/>
        <w:tabs>
          <w:tab w:val="left" w:pos="1323"/>
        </w:tabs>
        <w:spacing w:after="0" w:line="240" w:lineRule="auto"/>
        <w:rPr>
          <w:rFonts w:ascii="Trebuchet MS" w:hAnsi="Trebuchet MS"/>
          <w:b/>
        </w:rPr>
      </w:pPr>
      <w:bookmarkStart w:id="129" w:name="_Toc426359333"/>
      <w:r w:rsidRPr="00570488">
        <w:rPr>
          <w:rFonts w:ascii="Trebuchet MS" w:hAnsi="Trebuchet MS"/>
          <w:b/>
          <w:sz w:val="20"/>
        </w:rPr>
        <w:t xml:space="preserve">Tableau </w:t>
      </w:r>
      <w:r w:rsidR="00792500" w:rsidRPr="00570488">
        <w:rPr>
          <w:rFonts w:ascii="Trebuchet MS" w:hAnsi="Trebuchet MS"/>
          <w:b/>
          <w:sz w:val="20"/>
        </w:rPr>
        <w:fldChar w:fldCharType="begin"/>
      </w:r>
      <w:r w:rsidRPr="00570488">
        <w:rPr>
          <w:rFonts w:ascii="Trebuchet MS" w:hAnsi="Trebuchet MS"/>
          <w:b/>
          <w:sz w:val="20"/>
        </w:rPr>
        <w:instrText xml:space="preserve"> SEQ Tableau \* ARABIC </w:instrText>
      </w:r>
      <w:r w:rsidR="00792500" w:rsidRPr="00570488">
        <w:rPr>
          <w:rFonts w:ascii="Trebuchet MS" w:hAnsi="Trebuchet MS"/>
          <w:b/>
          <w:sz w:val="20"/>
        </w:rPr>
        <w:fldChar w:fldCharType="separate"/>
      </w:r>
      <w:r w:rsidR="00556962">
        <w:rPr>
          <w:rFonts w:ascii="Trebuchet MS" w:hAnsi="Trebuchet MS"/>
          <w:b/>
          <w:noProof/>
          <w:sz w:val="20"/>
        </w:rPr>
        <w:t>14</w:t>
      </w:r>
      <w:r w:rsidR="00792500" w:rsidRPr="00570488">
        <w:rPr>
          <w:rFonts w:ascii="Trebuchet MS" w:hAnsi="Trebuchet MS"/>
          <w:b/>
          <w:sz w:val="20"/>
        </w:rPr>
        <w:fldChar w:fldCharType="end"/>
      </w:r>
      <w:r w:rsidRPr="00570488">
        <w:rPr>
          <w:rFonts w:ascii="Trebuchet MS" w:hAnsi="Trebuchet MS"/>
          <w:b/>
          <w:color w:val="000000"/>
          <w:sz w:val="20"/>
        </w:rPr>
        <w:t xml:space="preserve">: </w:t>
      </w:r>
      <w:r w:rsidRPr="00570488">
        <w:rPr>
          <w:rFonts w:ascii="Trebuchet MS" w:eastAsia="Times New Roman" w:hAnsi="Trebuchet MS"/>
          <w:b/>
          <w:bCs/>
          <w:color w:val="000000"/>
          <w:sz w:val="20"/>
          <w:lang w:eastAsia="fr-FR"/>
        </w:rPr>
        <w:t>Revenus mensuels moyens des chefs de ménage et Répartition (%) des chefs de ménages selon le type de revenu perçu d'activité principale suivant le département et le milieu de résidence</w:t>
      </w:r>
      <w:bookmarkEnd w:id="129"/>
    </w:p>
    <w:tbl>
      <w:tblPr>
        <w:tblW w:w="5000" w:type="pct"/>
        <w:jc w:val="center"/>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976"/>
        <w:gridCol w:w="1935"/>
        <w:gridCol w:w="1256"/>
        <w:gridCol w:w="1135"/>
        <w:gridCol w:w="1023"/>
        <w:gridCol w:w="1383"/>
        <w:gridCol w:w="1185"/>
        <w:gridCol w:w="932"/>
        <w:gridCol w:w="967"/>
        <w:gridCol w:w="764"/>
        <w:gridCol w:w="1188"/>
      </w:tblGrid>
      <w:tr w:rsidR="005B1C80" w:rsidRPr="00CF086A" w:rsidTr="005B1C80">
        <w:trPr>
          <w:trHeight w:val="368"/>
          <w:jc w:val="center"/>
        </w:trPr>
        <w:tc>
          <w:tcPr>
            <w:tcW w:w="1009" w:type="pct"/>
            <w:vMerge w:val="restart"/>
            <w:tcBorders>
              <w:top w:val="double" w:sz="4" w:space="0" w:color="auto"/>
              <w:bottom w:val="single" w:sz="4" w:space="0" w:color="auto"/>
            </w:tcBorders>
            <w:shd w:val="clear" w:color="auto" w:fill="auto"/>
            <w:noWrap/>
            <w:vAlign w:val="bottom"/>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p w:rsidR="005B1C80" w:rsidRPr="00CF086A" w:rsidRDefault="005B1C80" w:rsidP="000E4111">
            <w:pPr>
              <w:keepNext/>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56" w:type="pct"/>
            <w:vMerge w:val="restart"/>
            <w:tcBorders>
              <w:top w:val="double" w:sz="4" w:space="0" w:color="auto"/>
              <w:bottom w:val="single" w:sz="4" w:space="0" w:color="auto"/>
              <w:right w:val="nil"/>
            </w:tcBorders>
            <w:shd w:val="clear" w:color="auto" w:fill="auto"/>
            <w:vAlign w:val="center"/>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Revenu mensuel moyen du chef de ménage</w:t>
            </w:r>
          </w:p>
        </w:tc>
        <w:tc>
          <w:tcPr>
            <w:tcW w:w="2931" w:type="pct"/>
            <w:gridSpan w:val="8"/>
            <w:tcBorders>
              <w:top w:val="double" w:sz="4" w:space="0" w:color="auto"/>
              <w:left w:val="nil"/>
              <w:bottom w:val="single" w:sz="4" w:space="0" w:color="auto"/>
              <w:right w:val="nil"/>
            </w:tcBorders>
            <w:shd w:val="clear" w:color="auto" w:fill="auto"/>
            <w:vAlign w:val="center"/>
            <w:hideMark/>
          </w:tcPr>
          <w:p w:rsidR="005B1C80" w:rsidRPr="005B1C80" w:rsidRDefault="005B1C80" w:rsidP="000E4111">
            <w:pPr>
              <w:keepNext/>
              <w:spacing w:before="40" w:after="0" w:line="240" w:lineRule="auto"/>
              <w:jc w:val="center"/>
              <w:rPr>
                <w:rFonts w:ascii="Trebuchet MS" w:eastAsia="Times New Roman" w:hAnsi="Trebuchet MS"/>
                <w:bCs/>
                <w:color w:val="000000"/>
                <w:sz w:val="20"/>
                <w:szCs w:val="20"/>
                <w:lang w:eastAsia="fr-FR"/>
              </w:rPr>
            </w:pPr>
            <w:r w:rsidRPr="005B1C80">
              <w:rPr>
                <w:rFonts w:ascii="Trebuchet MS" w:eastAsia="Times New Roman" w:hAnsi="Trebuchet MS"/>
                <w:bCs/>
                <w:color w:val="000000"/>
                <w:sz w:val="20"/>
                <w:szCs w:val="20"/>
                <w:lang w:eastAsia="fr-FR"/>
              </w:rPr>
              <w:t>Pourcentage de chefs de ménage selon type de revenu perçu d'activité principale</w:t>
            </w:r>
          </w:p>
        </w:tc>
        <w:tc>
          <w:tcPr>
            <w:tcW w:w="404" w:type="pct"/>
            <w:vMerge w:val="restart"/>
            <w:tcBorders>
              <w:top w:val="double" w:sz="4" w:space="0" w:color="auto"/>
              <w:lef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chefs de ménage occupés</w:t>
            </w:r>
          </w:p>
        </w:tc>
      </w:tr>
      <w:tr w:rsidR="005B1C80" w:rsidRPr="00CF086A" w:rsidTr="005B1C80">
        <w:trPr>
          <w:trHeight w:val="560"/>
          <w:jc w:val="center"/>
        </w:trPr>
        <w:tc>
          <w:tcPr>
            <w:tcW w:w="1009" w:type="pct"/>
            <w:vMerge/>
            <w:tcBorders>
              <w:top w:val="nil"/>
              <w:bottom w:val="single" w:sz="4" w:space="0" w:color="auto"/>
            </w:tcBorders>
            <w:shd w:val="clear" w:color="auto" w:fill="auto"/>
            <w:noWrap/>
            <w:vAlign w:val="bottom"/>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p>
        </w:tc>
        <w:tc>
          <w:tcPr>
            <w:tcW w:w="656" w:type="pct"/>
            <w:vMerge/>
            <w:tcBorders>
              <w:top w:val="nil"/>
              <w:bottom w:val="single" w:sz="4" w:space="0" w:color="auto"/>
              <w:righ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p>
        </w:tc>
        <w:tc>
          <w:tcPr>
            <w:tcW w:w="426" w:type="pct"/>
            <w:tcBorders>
              <w:top w:val="single" w:sz="4" w:space="0" w:color="auto"/>
              <w:left w:val="nil"/>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Salaire fixe mensuel</w:t>
            </w:r>
          </w:p>
        </w:tc>
        <w:tc>
          <w:tcPr>
            <w:tcW w:w="385"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 jour ou à l'heure</w:t>
            </w:r>
          </w:p>
        </w:tc>
        <w:tc>
          <w:tcPr>
            <w:tcW w:w="347"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 la tâche</w:t>
            </w:r>
          </w:p>
        </w:tc>
        <w:tc>
          <w:tcPr>
            <w:tcW w:w="469"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 la commission</w:t>
            </w:r>
          </w:p>
        </w:tc>
        <w:tc>
          <w:tcPr>
            <w:tcW w:w="402"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Bénéfices</w:t>
            </w:r>
          </w:p>
        </w:tc>
        <w:tc>
          <w:tcPr>
            <w:tcW w:w="316"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 nature</w:t>
            </w:r>
          </w:p>
        </w:tc>
        <w:tc>
          <w:tcPr>
            <w:tcW w:w="328" w:type="pct"/>
            <w:tcBorders>
              <w:top w:val="single" w:sz="4" w:space="0" w:color="auto"/>
              <w:bottom w:val="single" w:sz="4" w:space="0" w:color="auto"/>
              <w:righ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259" w:type="pct"/>
            <w:tcBorders>
              <w:top w:val="single" w:sz="4" w:space="0" w:color="auto"/>
              <w:left w:val="nil"/>
              <w:bottom w:val="single" w:sz="4" w:space="0" w:color="auto"/>
              <w:right w:val="nil"/>
            </w:tcBorders>
            <w:shd w:val="clear" w:color="auto" w:fill="auto"/>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Total</w:t>
            </w:r>
          </w:p>
        </w:tc>
        <w:tc>
          <w:tcPr>
            <w:tcW w:w="404" w:type="pct"/>
            <w:vMerge/>
            <w:tcBorders>
              <w:left w:val="nil"/>
              <w:bottom w:val="single" w:sz="4" w:space="0" w:color="auto"/>
            </w:tcBorders>
            <w:shd w:val="clear" w:color="auto" w:fill="auto"/>
            <w:vAlign w:val="center"/>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p>
        </w:tc>
      </w:tr>
      <w:tr w:rsidR="00B53EF9" w:rsidRPr="00CF086A" w:rsidTr="005B1C80">
        <w:trPr>
          <w:trHeight w:val="300"/>
          <w:jc w:val="center"/>
        </w:trPr>
        <w:tc>
          <w:tcPr>
            <w:tcW w:w="1009" w:type="pct"/>
            <w:tcBorders>
              <w:top w:val="single" w:sz="4" w:space="0" w:color="auto"/>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 xml:space="preserve">Département </w:t>
            </w:r>
          </w:p>
        </w:tc>
        <w:tc>
          <w:tcPr>
            <w:tcW w:w="656" w:type="pct"/>
            <w:tcBorders>
              <w:top w:val="single" w:sz="4" w:space="0" w:color="auto"/>
            </w:tcBorders>
            <w:shd w:val="clear" w:color="auto" w:fill="auto"/>
            <w:noWrap/>
            <w:vAlign w:val="bottom"/>
            <w:hideMark/>
          </w:tcPr>
          <w:p w:rsidR="00DC2869" w:rsidRPr="00CF086A"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26"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85"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47"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69"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02"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16"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28" w:type="pct"/>
            <w:tcBorders>
              <w:top w:val="single" w:sz="4" w:space="0" w:color="auto"/>
              <w:bottom w:val="nil"/>
              <w:right w:val="nil"/>
            </w:tcBorders>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59" w:type="pct"/>
            <w:tcBorders>
              <w:left w:val="nil"/>
            </w:tcBorders>
            <w:shd w:val="clear" w:color="auto" w:fill="auto"/>
            <w:vAlign w:val="bottom"/>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04" w:type="pct"/>
            <w:shd w:val="clear" w:color="auto" w:fill="auto"/>
            <w:noWrap/>
            <w:vAlign w:val="bottom"/>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ALIBORI</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92 101</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35,7</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48,3</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294</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ATACORA</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67 798</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7,1</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34,6</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25,8</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17,1</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240</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ATLANTIQUE</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85 111</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14,6</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8,9</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24,9</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281</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BORGOU</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67 812</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35,8</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40,7</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332</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COLLINES</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61 619</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11,7</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29,8</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37,3</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12,6</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437</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COUFFO</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67 479</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29,6</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29,1</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206</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DONGA</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133 118</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23,2</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48,6</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284</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LITTORAL</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129 551</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23,8</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17,0</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206</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MONO</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89 108</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13,1</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36,9</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268</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OUEME</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81 809</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10,7</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8,7</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54,2</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17,0</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PLATEAU</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103 372</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20,3</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56,9</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123</w:t>
            </w:r>
          </w:p>
        </w:tc>
      </w:tr>
      <w:tr w:rsidR="00B53EF9" w:rsidRPr="00CF086A" w:rsidTr="005B1C80">
        <w:trPr>
          <w:trHeight w:val="300"/>
          <w:jc w:val="center"/>
        </w:trPr>
        <w:tc>
          <w:tcPr>
            <w:tcW w:w="1009" w:type="pct"/>
            <w:tcBorders>
              <w:bottom w:val="nil"/>
            </w:tcBorders>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ZOU</w:t>
            </w:r>
          </w:p>
        </w:tc>
        <w:tc>
          <w:tcPr>
            <w:tcW w:w="656"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58 651</w:t>
            </w:r>
          </w:p>
        </w:tc>
        <w:tc>
          <w:tcPr>
            <w:tcW w:w="426"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11,7</w:t>
            </w:r>
          </w:p>
        </w:tc>
        <w:tc>
          <w:tcPr>
            <w:tcW w:w="385"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w:t>
            </w:r>
          </w:p>
        </w:tc>
        <w:tc>
          <w:tcPr>
            <w:tcW w:w="347"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53,9</w:t>
            </w:r>
          </w:p>
        </w:tc>
        <w:tc>
          <w:tcPr>
            <w:tcW w:w="469"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402"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10,9</w:t>
            </w:r>
          </w:p>
        </w:tc>
        <w:tc>
          <w:tcPr>
            <w:tcW w:w="316"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59" w:type="pct"/>
            <w:tcBorders>
              <w:left w:val="nil"/>
              <w:bottom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tcBorders>
              <w:bottom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377</w:t>
            </w:r>
          </w:p>
        </w:tc>
      </w:tr>
      <w:tr w:rsidR="00B53EF9" w:rsidRPr="00686FF6" w:rsidTr="005B1C80">
        <w:trPr>
          <w:trHeight w:val="300"/>
          <w:jc w:val="center"/>
        </w:trPr>
        <w:tc>
          <w:tcPr>
            <w:tcW w:w="1009" w:type="pct"/>
            <w:tcBorders>
              <w:top w:val="nil"/>
              <w:bottom w:val="nil"/>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Milieu de résidence</w:t>
            </w:r>
          </w:p>
        </w:tc>
        <w:tc>
          <w:tcPr>
            <w:tcW w:w="656" w:type="pct"/>
            <w:tcBorders>
              <w:top w:val="nil"/>
              <w:bottom w:val="nil"/>
            </w:tcBorders>
            <w:shd w:val="clear" w:color="auto" w:fill="auto"/>
            <w:noWrap/>
            <w:vAlign w:val="center"/>
            <w:hideMark/>
          </w:tcPr>
          <w:p w:rsidR="00DC2869" w:rsidRPr="00686FF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26"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85"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47"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69"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02"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16" w:type="pct"/>
            <w:tcBorders>
              <w:top w:val="nil"/>
              <w:bottom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328" w:type="pct"/>
            <w:tcBorders>
              <w:top w:val="nil"/>
              <w:bottom w:val="nil"/>
              <w:right w:val="nil"/>
            </w:tcBorders>
            <w:shd w:val="clear" w:color="auto" w:fill="auto"/>
            <w:noWrap/>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59" w:type="pct"/>
            <w:tcBorders>
              <w:top w:val="nil"/>
              <w:left w:val="nil"/>
              <w:bottom w:val="nil"/>
            </w:tcBorders>
            <w:shd w:val="clear" w:color="auto" w:fill="auto"/>
            <w:vAlign w:val="center"/>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404" w:type="pct"/>
            <w:tcBorders>
              <w:top w:val="nil"/>
              <w:bottom w:val="nil"/>
            </w:tcBorders>
            <w:shd w:val="clear" w:color="auto" w:fill="auto"/>
            <w:vAlign w:val="center"/>
            <w:hideMark/>
          </w:tcPr>
          <w:p w:rsidR="007843E6" w:rsidRDefault="007843E6"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B53EF9" w:rsidRPr="00686FF6" w:rsidTr="005B1C80">
        <w:trPr>
          <w:trHeight w:val="300"/>
          <w:jc w:val="center"/>
        </w:trPr>
        <w:tc>
          <w:tcPr>
            <w:tcW w:w="1009" w:type="pct"/>
            <w:tcBorders>
              <w:top w:val="nil"/>
            </w:tcBorders>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Urbain</w:t>
            </w:r>
          </w:p>
        </w:tc>
        <w:tc>
          <w:tcPr>
            <w:tcW w:w="656"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81 273</w:t>
            </w:r>
          </w:p>
        </w:tc>
        <w:tc>
          <w:tcPr>
            <w:tcW w:w="426"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15,0</w:t>
            </w:r>
          </w:p>
        </w:tc>
        <w:tc>
          <w:tcPr>
            <w:tcW w:w="385"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9,9</w:t>
            </w:r>
          </w:p>
        </w:tc>
        <w:tc>
          <w:tcPr>
            <w:tcW w:w="347"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34,9</w:t>
            </w:r>
          </w:p>
        </w:tc>
        <w:tc>
          <w:tcPr>
            <w:tcW w:w="469"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402"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26,4</w:t>
            </w:r>
          </w:p>
        </w:tc>
        <w:tc>
          <w:tcPr>
            <w:tcW w:w="316"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328" w:type="pct"/>
            <w:tcBorders>
              <w:top w:val="nil"/>
              <w:bottom w:val="nil"/>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7,5</w:t>
            </w:r>
          </w:p>
        </w:tc>
        <w:tc>
          <w:tcPr>
            <w:tcW w:w="259" w:type="pct"/>
            <w:tcBorders>
              <w:top w:val="nil"/>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tcBorders>
              <w:top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1338</w:t>
            </w:r>
          </w:p>
        </w:tc>
      </w:tr>
      <w:tr w:rsidR="00B53EF9" w:rsidRPr="00686FF6" w:rsidTr="005B1C80">
        <w:trPr>
          <w:trHeight w:val="300"/>
          <w:jc w:val="center"/>
        </w:trPr>
        <w:tc>
          <w:tcPr>
            <w:tcW w:w="1009" w:type="pct"/>
            <w:shd w:val="clear" w:color="auto" w:fill="auto"/>
            <w:noWrap/>
            <w:vAlign w:val="center"/>
            <w:hideMark/>
          </w:tcPr>
          <w:p w:rsidR="00DC2869" w:rsidRPr="009F2DB6" w:rsidRDefault="00DC2869" w:rsidP="000D1ABF">
            <w:pPr>
              <w:keepNext/>
              <w:spacing w:beforeLines="40" w:before="96" w:after="0" w:line="240" w:lineRule="auto"/>
              <w:ind w:left="426"/>
              <w:rPr>
                <w:rFonts w:ascii="Trebuchet MS" w:hAnsi="Trebuchet MS"/>
                <w:color w:val="000000"/>
                <w:sz w:val="20"/>
                <w:szCs w:val="20"/>
              </w:rPr>
            </w:pPr>
            <w:r w:rsidRPr="009F2DB6">
              <w:rPr>
                <w:rFonts w:ascii="Trebuchet MS" w:hAnsi="Trebuchet MS"/>
                <w:color w:val="000000"/>
                <w:sz w:val="20"/>
                <w:szCs w:val="20"/>
              </w:rPr>
              <w:t>Rural</w:t>
            </w:r>
          </w:p>
        </w:tc>
        <w:tc>
          <w:tcPr>
            <w:tcW w:w="65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82 930</w:t>
            </w:r>
          </w:p>
        </w:tc>
        <w:tc>
          <w:tcPr>
            <w:tcW w:w="42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5,7</w:t>
            </w:r>
          </w:p>
        </w:tc>
        <w:tc>
          <w:tcPr>
            <w:tcW w:w="385"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10,4</w:t>
            </w:r>
          </w:p>
        </w:tc>
        <w:tc>
          <w:tcPr>
            <w:tcW w:w="347"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39,6</w:t>
            </w:r>
          </w:p>
        </w:tc>
        <w:tc>
          <w:tcPr>
            <w:tcW w:w="469"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402"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32,0</w:t>
            </w:r>
          </w:p>
        </w:tc>
        <w:tc>
          <w:tcPr>
            <w:tcW w:w="316"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5,7</w:t>
            </w:r>
          </w:p>
        </w:tc>
        <w:tc>
          <w:tcPr>
            <w:tcW w:w="328" w:type="pct"/>
            <w:tcBorders>
              <w:top w:val="nil"/>
              <w:bottom w:val="single" w:sz="4" w:space="0" w:color="auto"/>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5,1</w:t>
            </w:r>
          </w:p>
        </w:tc>
        <w:tc>
          <w:tcPr>
            <w:tcW w:w="259" w:type="pct"/>
            <w:tcBorders>
              <w:left w:val="nil"/>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2057</w:t>
            </w:r>
          </w:p>
        </w:tc>
      </w:tr>
      <w:tr w:rsidR="00B53EF9" w:rsidRPr="00CF086A" w:rsidTr="005B1C80">
        <w:trPr>
          <w:trHeight w:val="300"/>
          <w:jc w:val="center"/>
        </w:trPr>
        <w:tc>
          <w:tcPr>
            <w:tcW w:w="1009" w:type="pct"/>
            <w:tcBorders>
              <w:top w:val="single" w:sz="4" w:space="0" w:color="auto"/>
              <w:bottom w:val="double" w:sz="4" w:space="0" w:color="auto"/>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Ensemble</w:t>
            </w:r>
          </w:p>
        </w:tc>
        <w:tc>
          <w:tcPr>
            <w:tcW w:w="656" w:type="pct"/>
            <w:tcBorders>
              <w:top w:val="single" w:sz="4" w:space="0" w:color="auto"/>
              <w:bottom w:val="double" w:sz="4" w:space="0" w:color="auto"/>
            </w:tcBorders>
            <w:shd w:val="clear" w:color="auto" w:fill="auto"/>
            <w:noWrap/>
            <w:vAlign w:val="center"/>
            <w:hideMark/>
          </w:tcPr>
          <w:p w:rsidR="00DC2869" w:rsidRPr="00570488"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82 274</w:t>
            </w:r>
          </w:p>
        </w:tc>
        <w:tc>
          <w:tcPr>
            <w:tcW w:w="426"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9,4</w:t>
            </w:r>
          </w:p>
        </w:tc>
        <w:tc>
          <w:tcPr>
            <w:tcW w:w="385"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10,2</w:t>
            </w:r>
          </w:p>
        </w:tc>
        <w:tc>
          <w:tcPr>
            <w:tcW w:w="347"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37,8</w:t>
            </w:r>
          </w:p>
        </w:tc>
        <w:tc>
          <w:tcPr>
            <w:tcW w:w="469"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1,6</w:t>
            </w:r>
          </w:p>
        </w:tc>
        <w:tc>
          <w:tcPr>
            <w:tcW w:w="402"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29,8</w:t>
            </w:r>
          </w:p>
        </w:tc>
        <w:tc>
          <w:tcPr>
            <w:tcW w:w="316"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5,3</w:t>
            </w:r>
          </w:p>
        </w:tc>
        <w:tc>
          <w:tcPr>
            <w:tcW w:w="328" w:type="pct"/>
            <w:tcBorders>
              <w:top w:val="single" w:sz="4" w:space="0" w:color="auto"/>
              <w:bottom w:val="double" w:sz="4" w:space="0" w:color="auto"/>
              <w:right w:val="nil"/>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6,0</w:t>
            </w:r>
          </w:p>
        </w:tc>
        <w:tc>
          <w:tcPr>
            <w:tcW w:w="259" w:type="pct"/>
            <w:tcBorders>
              <w:top w:val="single" w:sz="4" w:space="0" w:color="auto"/>
              <w:left w:val="nil"/>
              <w:bottom w:val="double" w:sz="4" w:space="0" w:color="auto"/>
            </w:tcBorders>
            <w:shd w:val="clear" w:color="auto" w:fill="auto"/>
            <w:vAlign w:val="center"/>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100,0</w:t>
            </w:r>
          </w:p>
        </w:tc>
        <w:tc>
          <w:tcPr>
            <w:tcW w:w="404" w:type="pct"/>
            <w:tcBorders>
              <w:top w:val="single" w:sz="4" w:space="0" w:color="auto"/>
              <w:bottom w:val="double" w:sz="4" w:space="0" w:color="auto"/>
            </w:tcBorders>
            <w:shd w:val="clear" w:color="auto" w:fill="auto"/>
            <w:noWrap/>
            <w:vAlign w:val="center"/>
            <w:hideMark/>
          </w:tcPr>
          <w:p w:rsidR="007843E6" w:rsidRDefault="00DC2869" w:rsidP="000D1ABF">
            <w:pPr>
              <w:keepNext/>
              <w:spacing w:beforeLines="40" w:before="96"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3395</w:t>
            </w:r>
          </w:p>
        </w:tc>
      </w:tr>
      <w:tr w:rsidR="00B53EF9" w:rsidRPr="00CF086A" w:rsidTr="00570488">
        <w:trPr>
          <w:trHeight w:val="300"/>
          <w:jc w:val="center"/>
        </w:trPr>
        <w:tc>
          <w:tcPr>
            <w:tcW w:w="5000" w:type="pct"/>
            <w:gridSpan w:val="11"/>
            <w:tcBorders>
              <w:top w:val="double" w:sz="4" w:space="0" w:color="auto"/>
              <w:bottom w:val="nil"/>
            </w:tcBorders>
            <w:shd w:val="clear" w:color="auto" w:fill="auto"/>
            <w:noWrap/>
            <w:vAlign w:val="bottom"/>
            <w:hideMark/>
          </w:tcPr>
          <w:p w:rsidR="00B53EF9" w:rsidRPr="00570488" w:rsidRDefault="00B53EF9" w:rsidP="000D1ABF">
            <w:pPr>
              <w:keepNext/>
              <w:spacing w:beforeLines="40" w:before="96" w:after="0" w:line="240" w:lineRule="auto"/>
              <w:rPr>
                <w:rFonts w:ascii="Trebuchet MS" w:eastAsia="Times New Roman" w:hAnsi="Trebuchet MS"/>
                <w:b/>
                <w:color w:val="000000"/>
                <w:sz w:val="20"/>
                <w:szCs w:val="20"/>
                <w:lang w:eastAsia="fr-FR"/>
              </w:rPr>
            </w:pPr>
            <w:r w:rsidRPr="00570488">
              <w:rPr>
                <w:rFonts w:ascii="Trebuchet MS" w:hAnsi="Trebuchet MS" w:cs="Arial"/>
                <w:b/>
                <w:bCs/>
                <w:color w:val="000000"/>
                <w:sz w:val="20"/>
              </w:rPr>
              <w:t>Source : ECEB, INSAE, 2015</w:t>
            </w:r>
          </w:p>
        </w:tc>
      </w:tr>
    </w:tbl>
    <w:p w:rsidR="00B811FE" w:rsidRPr="0072397D" w:rsidRDefault="00B811FE" w:rsidP="00B811FE">
      <w:pPr>
        <w:rPr>
          <w:rFonts w:ascii="Trebuchet MS" w:hAnsi="Trebuchet MS"/>
        </w:rPr>
      </w:pPr>
    </w:p>
    <w:p w:rsidR="00B811FE" w:rsidRPr="0072397D" w:rsidRDefault="00B811FE" w:rsidP="00B811FE">
      <w:pPr>
        <w:rPr>
          <w:rFonts w:ascii="Trebuchet MS" w:hAnsi="Trebuchet MS"/>
        </w:rPr>
        <w:sectPr w:rsidR="00B811FE" w:rsidRPr="0072397D" w:rsidSect="00CF086A">
          <w:pgSz w:w="16838" w:h="11906" w:orient="landscape"/>
          <w:pgMar w:top="1418" w:right="1383" w:bottom="1418" w:left="851" w:header="567" w:footer="0" w:gutter="0"/>
          <w:cols w:space="708"/>
          <w:docGrid w:linePitch="360"/>
        </w:sectPr>
      </w:pPr>
    </w:p>
    <w:p w:rsidR="00B811FE" w:rsidRDefault="00B811FE" w:rsidP="00B811FE">
      <w:pPr>
        <w:rPr>
          <w:rFonts w:ascii="Trebuchet MS" w:hAnsi="Trebuchet MS"/>
        </w:rPr>
      </w:pPr>
    </w:p>
    <w:p w:rsidR="00A130D6" w:rsidRPr="000F51D2" w:rsidRDefault="00A130D6" w:rsidP="00F03E08">
      <w:pPr>
        <w:pStyle w:val="Titre4"/>
        <w:numPr>
          <w:ilvl w:val="2"/>
          <w:numId w:val="6"/>
        </w:numPr>
      </w:pPr>
      <w:bookmarkStart w:id="130" w:name="_Toc425961647"/>
      <w:bookmarkStart w:id="131" w:name="_Toc426359441"/>
      <w:r w:rsidRPr="000F51D2">
        <w:t>Epargne mensuelle moyen des chefs de ménage et mode d’épargne</w:t>
      </w:r>
      <w:bookmarkEnd w:id="130"/>
      <w:bookmarkEnd w:id="131"/>
    </w:p>
    <w:p w:rsidR="00E56839" w:rsidRPr="00E56839" w:rsidRDefault="008A0679" w:rsidP="00A130D6">
      <w:pPr>
        <w:jc w:val="both"/>
        <w:rPr>
          <w:rFonts w:ascii="Trebuchet MS" w:hAnsi="Trebuchet MS"/>
        </w:rPr>
      </w:pPr>
      <w:r>
        <w:rPr>
          <w:rFonts w:ascii="Trebuchet MS" w:hAnsi="Trebuchet MS"/>
        </w:rPr>
        <w:t>D</w:t>
      </w:r>
      <w:r w:rsidRPr="00E56839">
        <w:rPr>
          <w:rFonts w:ascii="Trebuchet MS" w:hAnsi="Trebuchet MS"/>
        </w:rPr>
        <w:t xml:space="preserve">’après </w:t>
      </w:r>
      <w:r w:rsidR="00E56839" w:rsidRPr="00E56839">
        <w:rPr>
          <w:rFonts w:ascii="Trebuchet MS" w:hAnsi="Trebuchet MS"/>
        </w:rPr>
        <w:t xml:space="preserve">les résultats </w:t>
      </w:r>
      <w:r>
        <w:rPr>
          <w:rFonts w:ascii="Trebuchet MS" w:hAnsi="Trebuchet MS"/>
        </w:rPr>
        <w:t>du tableau ci-après, i</w:t>
      </w:r>
      <w:r w:rsidRPr="00E56839">
        <w:rPr>
          <w:rFonts w:ascii="Trebuchet MS" w:hAnsi="Trebuchet MS"/>
        </w:rPr>
        <w:t xml:space="preserve">l ressort </w:t>
      </w:r>
      <w:r w:rsidR="00E56839" w:rsidRPr="00E56839">
        <w:rPr>
          <w:rFonts w:ascii="Trebuchet MS" w:hAnsi="Trebuchet MS"/>
        </w:rPr>
        <w:t>que sur l’ensemble des chefs de ménage, 53</w:t>
      </w:r>
      <w:r>
        <w:rPr>
          <w:rFonts w:ascii="Trebuchet MS" w:hAnsi="Trebuchet MS"/>
        </w:rPr>
        <w:t>,0</w:t>
      </w:r>
      <w:r w:rsidR="00E56839" w:rsidRPr="00E56839">
        <w:rPr>
          <w:rFonts w:ascii="Trebuchet MS" w:hAnsi="Trebuchet MS"/>
        </w:rPr>
        <w:t xml:space="preserve">% </w:t>
      </w:r>
      <w:r>
        <w:rPr>
          <w:rFonts w:ascii="Trebuchet MS" w:hAnsi="Trebuchet MS"/>
        </w:rPr>
        <w:t xml:space="preserve">ont déclaré avoir </w:t>
      </w:r>
      <w:r w:rsidR="00E56839" w:rsidRPr="00E56839">
        <w:rPr>
          <w:rFonts w:ascii="Trebuchet MS" w:hAnsi="Trebuchet MS"/>
        </w:rPr>
        <w:t>épargn</w:t>
      </w:r>
      <w:r>
        <w:rPr>
          <w:rFonts w:ascii="Trebuchet MS" w:hAnsi="Trebuchet MS"/>
        </w:rPr>
        <w:t>é</w:t>
      </w:r>
      <w:r w:rsidR="00E56839" w:rsidRPr="00E56839">
        <w:rPr>
          <w:rFonts w:ascii="Trebuchet MS" w:hAnsi="Trebuchet MS"/>
        </w:rPr>
        <w:t>. Quant aux conjoints (es) des chefs de ménage,</w:t>
      </w:r>
      <w:r w:rsidR="00B25B8F">
        <w:rPr>
          <w:rFonts w:ascii="Trebuchet MS" w:hAnsi="Trebuchet MS"/>
        </w:rPr>
        <w:t xml:space="preserve"> seulement</w:t>
      </w:r>
      <w:r w:rsidR="00E56839" w:rsidRPr="00E56839">
        <w:rPr>
          <w:rFonts w:ascii="Trebuchet MS" w:hAnsi="Trebuchet MS"/>
        </w:rPr>
        <w:t xml:space="preserve"> 32,6% </w:t>
      </w:r>
      <w:r w:rsidR="00B25B8F">
        <w:rPr>
          <w:rFonts w:ascii="Trebuchet MS" w:hAnsi="Trebuchet MS"/>
        </w:rPr>
        <w:t>ont épargné</w:t>
      </w:r>
      <w:r w:rsidR="00E56839" w:rsidRPr="00E56839">
        <w:rPr>
          <w:rFonts w:ascii="Trebuchet MS" w:hAnsi="Trebuchet MS"/>
        </w:rPr>
        <w:t xml:space="preserve">. </w:t>
      </w:r>
    </w:p>
    <w:p w:rsidR="00E56839" w:rsidRDefault="00E56839" w:rsidP="00E56839">
      <w:pPr>
        <w:spacing w:after="0"/>
        <w:jc w:val="both"/>
        <w:rPr>
          <w:rFonts w:ascii="Trebuchet MS" w:hAnsi="Trebuchet MS"/>
        </w:rPr>
      </w:pPr>
      <w:r w:rsidRPr="00E56839">
        <w:rPr>
          <w:rFonts w:ascii="Trebuchet MS" w:hAnsi="Trebuchet MS"/>
        </w:rPr>
        <w:t>En ce qui concerne les modes d’épargne, les résultats révèlent que les chefs de ménages utilisent fortement (</w:t>
      </w:r>
      <w:r w:rsidR="00B25B8F">
        <w:rPr>
          <w:rFonts w:ascii="Trebuchet MS" w:hAnsi="Trebuchet MS"/>
        </w:rPr>
        <w:t>77,9%</w:t>
      </w:r>
      <w:r w:rsidRPr="00E56839">
        <w:rPr>
          <w:rFonts w:ascii="Trebuchet MS" w:hAnsi="Trebuchet MS"/>
        </w:rPr>
        <w:t xml:space="preserve">%) les tontines pour épargner. La préférence pour les comptes en banque comme mode d’épargne est limitée à seulement 17%. Le mode d’épargne le moins préféré chez les chefs de ménage est la caisse nationale d’épargne (8,2%) </w:t>
      </w:r>
      <w:r w:rsidR="00B25B8F">
        <w:rPr>
          <w:rFonts w:ascii="Trebuchet MS" w:hAnsi="Trebuchet MS"/>
        </w:rPr>
        <w:t>mis à part</w:t>
      </w:r>
      <w:r w:rsidRPr="00E56839">
        <w:rPr>
          <w:rFonts w:ascii="Trebuchet MS" w:hAnsi="Trebuchet MS"/>
        </w:rPr>
        <w:t xml:space="preserve"> le mode d’épargne « autre (2,5%) ». </w:t>
      </w:r>
      <w:r w:rsidR="00B25B8F">
        <w:rPr>
          <w:rFonts w:ascii="Trebuchet MS" w:hAnsi="Trebuchet MS"/>
        </w:rPr>
        <w:t xml:space="preserve">Les parts des chefs de ménage utilisant </w:t>
      </w:r>
      <w:r w:rsidRPr="00E56839">
        <w:rPr>
          <w:rFonts w:ascii="Trebuchet MS" w:hAnsi="Trebuchet MS"/>
        </w:rPr>
        <w:t xml:space="preserve">les comptes dans une institution de </w:t>
      </w:r>
      <w:r w:rsidR="00B25B8F" w:rsidRPr="00E56839">
        <w:rPr>
          <w:rFonts w:ascii="Trebuchet MS" w:hAnsi="Trebuchet MS"/>
        </w:rPr>
        <w:t>microcrédit</w:t>
      </w:r>
      <w:r w:rsidRPr="00E56839">
        <w:rPr>
          <w:rFonts w:ascii="Trebuchet MS" w:hAnsi="Trebuchet MS"/>
        </w:rPr>
        <w:t xml:space="preserve"> et les comptes de coopératives </w:t>
      </w:r>
      <w:r w:rsidR="00B25B8F">
        <w:rPr>
          <w:rFonts w:ascii="Trebuchet MS" w:hAnsi="Trebuchet MS"/>
        </w:rPr>
        <w:t>s’élèvent</w:t>
      </w:r>
      <w:r w:rsidRPr="00E56839">
        <w:rPr>
          <w:rFonts w:ascii="Trebuchet MS" w:hAnsi="Trebuchet MS"/>
        </w:rPr>
        <w:t xml:space="preserve"> respectivement </w:t>
      </w:r>
      <w:r w:rsidR="00B25B8F">
        <w:rPr>
          <w:rFonts w:ascii="Trebuchet MS" w:hAnsi="Trebuchet MS"/>
        </w:rPr>
        <w:t xml:space="preserve">à </w:t>
      </w:r>
      <w:r w:rsidRPr="00E56839">
        <w:rPr>
          <w:rFonts w:ascii="Trebuchet MS" w:hAnsi="Trebuchet MS"/>
        </w:rPr>
        <w:t xml:space="preserve">12% et 10,3%. </w:t>
      </w:r>
      <w:r w:rsidR="00B25B8F">
        <w:rPr>
          <w:rFonts w:ascii="Trebuchet MS" w:hAnsi="Trebuchet MS"/>
        </w:rPr>
        <w:t xml:space="preserve">Par ailleurs, la majorité des </w:t>
      </w:r>
      <w:r w:rsidRPr="00E56839">
        <w:rPr>
          <w:rFonts w:ascii="Trebuchet MS" w:hAnsi="Trebuchet MS"/>
        </w:rPr>
        <w:t>conjoint(e)</w:t>
      </w:r>
      <w:r w:rsidR="00B25B8F">
        <w:rPr>
          <w:rFonts w:ascii="Trebuchet MS" w:hAnsi="Trebuchet MS"/>
        </w:rPr>
        <w:t xml:space="preserve"> (89,6%)</w:t>
      </w:r>
      <w:r w:rsidRPr="00E56839">
        <w:rPr>
          <w:rFonts w:ascii="Trebuchet MS" w:hAnsi="Trebuchet MS"/>
        </w:rPr>
        <w:t xml:space="preserve"> préfère utiliser les tontines pour épargne. Les autres modes d’épargne sont sollicités dans une </w:t>
      </w:r>
      <w:r w:rsidR="00213D13">
        <w:rPr>
          <w:rFonts w:ascii="Trebuchet MS" w:hAnsi="Trebuchet MS"/>
        </w:rPr>
        <w:t>proportion</w:t>
      </w:r>
      <w:r w:rsidRPr="00E56839">
        <w:rPr>
          <w:rFonts w:ascii="Trebuchet MS" w:hAnsi="Trebuchet MS"/>
        </w:rPr>
        <w:t xml:space="preserve"> relativement faible par le</w:t>
      </w:r>
      <w:r w:rsidR="00CD4C36">
        <w:rPr>
          <w:rFonts w:ascii="Trebuchet MS" w:hAnsi="Trebuchet MS"/>
        </w:rPr>
        <w:t xml:space="preserve"> (la)</w:t>
      </w:r>
      <w:r w:rsidRPr="00E56839">
        <w:rPr>
          <w:rFonts w:ascii="Trebuchet MS" w:hAnsi="Trebuchet MS"/>
        </w:rPr>
        <w:t xml:space="preserve"> conjoint(e) du chef de ménage.</w:t>
      </w:r>
    </w:p>
    <w:p w:rsidR="00213D13" w:rsidRDefault="00213D13" w:rsidP="00E56839">
      <w:pPr>
        <w:spacing w:after="0"/>
        <w:jc w:val="both"/>
        <w:rPr>
          <w:rFonts w:ascii="Trebuchet MS" w:hAnsi="Trebuchet MS"/>
        </w:rPr>
      </w:pPr>
    </w:p>
    <w:p w:rsidR="005B1A45" w:rsidRPr="005B1A45" w:rsidRDefault="005B1A45" w:rsidP="000E4111">
      <w:pPr>
        <w:keepNext/>
        <w:spacing w:after="0" w:line="240" w:lineRule="auto"/>
        <w:jc w:val="both"/>
        <w:rPr>
          <w:rFonts w:ascii="Trebuchet MS" w:hAnsi="Trebuchet MS"/>
          <w:b/>
        </w:rPr>
      </w:pPr>
      <w:bookmarkStart w:id="132" w:name="_Toc425955993"/>
      <w:bookmarkStart w:id="133" w:name="_Toc426359334"/>
      <w:r w:rsidRPr="005B1A45">
        <w:rPr>
          <w:rFonts w:ascii="Trebuchet MS" w:eastAsia="Times New Roman" w:hAnsi="Trebuchet MS"/>
          <w:b/>
          <w:color w:val="000000"/>
          <w:sz w:val="20"/>
          <w:szCs w:val="20"/>
          <w:lang w:eastAsia="fr-FR"/>
        </w:rPr>
        <w:t xml:space="preserve">Tableau </w:t>
      </w:r>
      <w:r w:rsidR="00792500" w:rsidRPr="005B1A45">
        <w:rPr>
          <w:rFonts w:ascii="Trebuchet MS" w:eastAsia="Times New Roman" w:hAnsi="Trebuchet MS"/>
          <w:b/>
          <w:color w:val="000000"/>
          <w:sz w:val="20"/>
          <w:szCs w:val="20"/>
          <w:lang w:eastAsia="fr-FR"/>
        </w:rPr>
        <w:fldChar w:fldCharType="begin"/>
      </w:r>
      <w:r w:rsidRPr="005B1A45">
        <w:rPr>
          <w:rFonts w:ascii="Trebuchet MS" w:eastAsia="Times New Roman" w:hAnsi="Trebuchet MS"/>
          <w:b/>
          <w:color w:val="000000"/>
          <w:sz w:val="20"/>
          <w:szCs w:val="20"/>
          <w:lang w:eastAsia="fr-FR"/>
        </w:rPr>
        <w:instrText xml:space="preserve"> SEQ Tableau \* ARABIC </w:instrText>
      </w:r>
      <w:r w:rsidR="00792500" w:rsidRPr="005B1A45">
        <w:rPr>
          <w:rFonts w:ascii="Trebuchet MS" w:eastAsia="Times New Roman" w:hAnsi="Trebuchet MS"/>
          <w:b/>
          <w:color w:val="000000"/>
          <w:sz w:val="20"/>
          <w:szCs w:val="20"/>
          <w:lang w:eastAsia="fr-FR"/>
        </w:rPr>
        <w:fldChar w:fldCharType="separate"/>
      </w:r>
      <w:r w:rsidR="00556962">
        <w:rPr>
          <w:rFonts w:ascii="Trebuchet MS" w:eastAsia="Times New Roman" w:hAnsi="Trebuchet MS"/>
          <w:b/>
          <w:noProof/>
          <w:color w:val="000000"/>
          <w:sz w:val="20"/>
          <w:szCs w:val="20"/>
          <w:lang w:eastAsia="fr-FR"/>
        </w:rPr>
        <w:t>15</w:t>
      </w:r>
      <w:r w:rsidR="00792500" w:rsidRPr="005B1A45">
        <w:rPr>
          <w:rFonts w:ascii="Trebuchet MS" w:eastAsia="Times New Roman" w:hAnsi="Trebuchet MS"/>
          <w:b/>
          <w:color w:val="000000"/>
          <w:sz w:val="20"/>
          <w:szCs w:val="20"/>
          <w:lang w:eastAsia="fr-FR"/>
        </w:rPr>
        <w:fldChar w:fldCharType="end"/>
      </w:r>
      <w:r w:rsidRPr="005B1A45">
        <w:rPr>
          <w:rFonts w:ascii="Trebuchet MS" w:eastAsia="Times New Roman" w:hAnsi="Trebuchet MS"/>
          <w:b/>
          <w:color w:val="000000"/>
          <w:sz w:val="20"/>
          <w:szCs w:val="20"/>
          <w:lang w:eastAsia="fr-FR"/>
        </w:rPr>
        <w:t xml:space="preserve"> : Pourcentage de chefs de ménage et de conjoint(e)s du chef de ménage selon le station d’épargne et le mode d’épargne utilisé</w:t>
      </w:r>
      <w:bookmarkEnd w:id="132"/>
      <w:bookmarkEnd w:id="133"/>
    </w:p>
    <w:tbl>
      <w:tblPr>
        <w:tblW w:w="8768"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4894"/>
        <w:gridCol w:w="1866"/>
        <w:gridCol w:w="2008"/>
      </w:tblGrid>
      <w:tr w:rsidR="00B811FE" w:rsidRPr="00686FF6" w:rsidTr="00854A98">
        <w:trPr>
          <w:trHeight w:val="309"/>
        </w:trPr>
        <w:tc>
          <w:tcPr>
            <w:tcW w:w="4894" w:type="dxa"/>
            <w:vMerge w:val="restart"/>
            <w:tcBorders>
              <w:top w:val="double" w:sz="4" w:space="0" w:color="auto"/>
              <w:bottom w:val="nil"/>
            </w:tcBorders>
            <w:shd w:val="clear" w:color="auto" w:fill="auto"/>
            <w:noWrap/>
            <w:vAlign w:val="bottom"/>
            <w:hideMark/>
          </w:tcPr>
          <w:p w:rsidR="00B811FE" w:rsidRPr="00686FF6" w:rsidRDefault="00B811FE" w:rsidP="000E4111">
            <w:pPr>
              <w:keepNext/>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w:t>
            </w:r>
          </w:p>
        </w:tc>
        <w:tc>
          <w:tcPr>
            <w:tcW w:w="3874" w:type="dxa"/>
            <w:gridSpan w:val="2"/>
            <w:tcBorders>
              <w:top w:val="double" w:sz="4" w:space="0" w:color="auto"/>
              <w:bottom w:val="single" w:sz="4" w:space="0" w:color="auto"/>
            </w:tcBorders>
            <w:shd w:val="clear" w:color="auto" w:fill="auto"/>
            <w:vAlign w:val="bottom"/>
            <w:hideMark/>
          </w:tcPr>
          <w:p w:rsidR="00B811FE" w:rsidRPr="00854A98" w:rsidRDefault="00B811FE" w:rsidP="000E4111">
            <w:pPr>
              <w:keepNext/>
              <w:spacing w:after="0" w:line="240" w:lineRule="auto"/>
              <w:jc w:val="center"/>
              <w:rPr>
                <w:rFonts w:ascii="Trebuchet MS" w:eastAsia="Times New Roman" w:hAnsi="Trebuchet MS"/>
                <w:color w:val="000000"/>
                <w:sz w:val="20"/>
                <w:szCs w:val="20"/>
                <w:lang w:eastAsia="fr-FR"/>
              </w:rPr>
            </w:pPr>
            <w:r w:rsidRPr="00854A98">
              <w:rPr>
                <w:rFonts w:ascii="Trebuchet MS" w:eastAsia="Times New Roman" w:hAnsi="Trebuchet MS"/>
                <w:color w:val="000000"/>
                <w:sz w:val="20"/>
                <w:szCs w:val="20"/>
                <w:lang w:eastAsia="fr-FR"/>
              </w:rPr>
              <w:t>Pourcentage de répondants pour chaque mode d'épargne utilisé</w:t>
            </w:r>
          </w:p>
        </w:tc>
      </w:tr>
      <w:tr w:rsidR="00B811FE" w:rsidRPr="00686FF6" w:rsidTr="00854A98">
        <w:trPr>
          <w:trHeight w:val="268"/>
        </w:trPr>
        <w:tc>
          <w:tcPr>
            <w:tcW w:w="4894" w:type="dxa"/>
            <w:vMerge/>
            <w:tcBorders>
              <w:top w:val="nil"/>
              <w:bottom w:val="single" w:sz="4" w:space="0" w:color="auto"/>
            </w:tcBorders>
            <w:shd w:val="clear" w:color="auto" w:fill="auto"/>
            <w:vAlign w:val="center"/>
            <w:hideMark/>
          </w:tcPr>
          <w:p w:rsidR="00B811FE" w:rsidRPr="00686FF6" w:rsidRDefault="00B811FE" w:rsidP="000E4111">
            <w:pPr>
              <w:keepNext/>
              <w:spacing w:after="0" w:line="240" w:lineRule="auto"/>
              <w:rPr>
                <w:rFonts w:ascii="Trebuchet MS" w:eastAsia="Times New Roman" w:hAnsi="Trebuchet MS"/>
                <w:color w:val="000000"/>
                <w:sz w:val="20"/>
                <w:szCs w:val="20"/>
                <w:lang w:eastAsia="fr-FR"/>
              </w:rPr>
            </w:pPr>
          </w:p>
        </w:tc>
        <w:tc>
          <w:tcPr>
            <w:tcW w:w="1866" w:type="dxa"/>
            <w:tcBorders>
              <w:top w:val="single" w:sz="4" w:space="0" w:color="auto"/>
              <w:bottom w:val="single" w:sz="4" w:space="0" w:color="auto"/>
            </w:tcBorders>
            <w:shd w:val="clear" w:color="auto" w:fill="auto"/>
            <w:noWrap/>
            <w:vAlign w:val="bottom"/>
            <w:hideMark/>
          </w:tcPr>
          <w:p w:rsidR="00B811FE" w:rsidRPr="00854A98" w:rsidRDefault="00B811FE" w:rsidP="000E4111">
            <w:pPr>
              <w:keepNext/>
              <w:spacing w:after="0" w:line="240" w:lineRule="auto"/>
              <w:jc w:val="center"/>
              <w:rPr>
                <w:rFonts w:ascii="Trebuchet MS" w:eastAsia="Times New Roman" w:hAnsi="Trebuchet MS"/>
                <w:bCs/>
                <w:color w:val="000000"/>
                <w:sz w:val="20"/>
                <w:szCs w:val="20"/>
                <w:lang w:eastAsia="fr-FR"/>
              </w:rPr>
            </w:pPr>
            <w:r w:rsidRPr="00854A98">
              <w:rPr>
                <w:rFonts w:ascii="Trebuchet MS" w:eastAsia="Times New Roman" w:hAnsi="Trebuchet MS"/>
                <w:bCs/>
                <w:color w:val="000000"/>
                <w:sz w:val="20"/>
                <w:szCs w:val="20"/>
                <w:lang w:eastAsia="fr-FR"/>
              </w:rPr>
              <w:t>Chef de ménage</w:t>
            </w:r>
          </w:p>
        </w:tc>
        <w:tc>
          <w:tcPr>
            <w:tcW w:w="2008" w:type="dxa"/>
            <w:tcBorders>
              <w:top w:val="single" w:sz="4" w:space="0" w:color="auto"/>
              <w:bottom w:val="single" w:sz="4" w:space="0" w:color="auto"/>
            </w:tcBorders>
            <w:shd w:val="clear" w:color="auto" w:fill="auto"/>
            <w:noWrap/>
            <w:vAlign w:val="bottom"/>
            <w:hideMark/>
          </w:tcPr>
          <w:p w:rsidR="00B811FE" w:rsidRPr="00854A98" w:rsidRDefault="00B811FE" w:rsidP="000E4111">
            <w:pPr>
              <w:keepNext/>
              <w:spacing w:after="0" w:line="240" w:lineRule="auto"/>
              <w:jc w:val="center"/>
              <w:rPr>
                <w:rFonts w:ascii="Trebuchet MS" w:eastAsia="Times New Roman" w:hAnsi="Trebuchet MS"/>
                <w:bCs/>
                <w:color w:val="000000"/>
                <w:sz w:val="20"/>
                <w:szCs w:val="20"/>
                <w:lang w:eastAsia="fr-FR"/>
              </w:rPr>
            </w:pPr>
            <w:r w:rsidRPr="00854A98">
              <w:rPr>
                <w:rFonts w:ascii="Trebuchet MS" w:eastAsia="Times New Roman" w:hAnsi="Trebuchet MS"/>
                <w:bCs/>
                <w:color w:val="000000"/>
                <w:sz w:val="20"/>
                <w:szCs w:val="20"/>
                <w:lang w:eastAsia="fr-FR"/>
              </w:rPr>
              <w:t>Conjoint (e) du CM</w:t>
            </w:r>
          </w:p>
        </w:tc>
      </w:tr>
      <w:tr w:rsidR="00B811FE" w:rsidRPr="00686FF6" w:rsidTr="00854A98">
        <w:trPr>
          <w:trHeight w:val="206"/>
        </w:trPr>
        <w:tc>
          <w:tcPr>
            <w:tcW w:w="4894" w:type="dxa"/>
            <w:tcBorders>
              <w:top w:val="single" w:sz="4" w:space="0" w:color="auto"/>
            </w:tcBorders>
            <w:shd w:val="clear" w:color="auto" w:fill="auto"/>
            <w:noWrap/>
            <w:vAlign w:val="bottom"/>
            <w:hideMark/>
          </w:tcPr>
          <w:p w:rsidR="00B811FE" w:rsidRPr="00686FF6" w:rsidRDefault="00B811FE" w:rsidP="000D1ABF">
            <w:pPr>
              <w:keepNext/>
              <w:spacing w:beforeLines="40" w:before="96"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N’épargne pas</w:t>
            </w:r>
          </w:p>
        </w:tc>
        <w:tc>
          <w:tcPr>
            <w:tcW w:w="1866" w:type="dxa"/>
            <w:tcBorders>
              <w:top w:val="sing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47,0</w:t>
            </w:r>
          </w:p>
        </w:tc>
        <w:tc>
          <w:tcPr>
            <w:tcW w:w="2008" w:type="dxa"/>
            <w:tcBorders>
              <w:top w:val="sing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b/>
                <w:color w:val="000000"/>
                <w:sz w:val="20"/>
                <w:szCs w:val="20"/>
                <w:lang w:eastAsia="fr-FR"/>
              </w:rPr>
            </w:pPr>
            <w:r w:rsidRPr="00686FF6">
              <w:rPr>
                <w:rFonts w:ascii="Trebuchet MS" w:eastAsia="Times New Roman" w:hAnsi="Trebuchet MS"/>
                <w:color w:val="000000"/>
                <w:sz w:val="20"/>
                <w:szCs w:val="20"/>
                <w:lang w:eastAsia="fr-FR"/>
              </w:rPr>
              <w:t>67,4</w:t>
            </w: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xml:space="preserve">Epargne </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53,0</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b/>
                <w:color w:val="000000"/>
                <w:sz w:val="20"/>
                <w:szCs w:val="20"/>
                <w:lang w:eastAsia="fr-FR"/>
              </w:rPr>
            </w:pPr>
            <w:r w:rsidRPr="00686FF6">
              <w:rPr>
                <w:rFonts w:ascii="Trebuchet MS" w:eastAsia="Times New Roman" w:hAnsi="Trebuchet MS"/>
                <w:color w:val="000000"/>
                <w:sz w:val="20"/>
                <w:szCs w:val="20"/>
                <w:lang w:eastAsia="fr-FR"/>
              </w:rPr>
              <w:t>32,6</w:t>
            </w:r>
          </w:p>
        </w:tc>
      </w:tr>
      <w:tr w:rsidR="00B811FE" w:rsidRPr="00686FF6" w:rsidTr="00854A98">
        <w:trPr>
          <w:trHeight w:val="206"/>
        </w:trPr>
        <w:tc>
          <w:tcPr>
            <w:tcW w:w="4894" w:type="dxa"/>
            <w:shd w:val="clear" w:color="auto" w:fill="auto"/>
            <w:noWrap/>
            <w:vAlign w:val="bottom"/>
            <w:hideMark/>
          </w:tcPr>
          <w:p w:rsidR="00B811FE" w:rsidRPr="00854A98" w:rsidRDefault="00B811FE" w:rsidP="000D1ABF">
            <w:pPr>
              <w:keepNext/>
              <w:spacing w:beforeLines="40" w:before="96" w:after="0" w:line="240" w:lineRule="auto"/>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Mode d'épargne utilisé par les épargnants</w:t>
            </w:r>
          </w:p>
        </w:tc>
        <w:tc>
          <w:tcPr>
            <w:tcW w:w="1866" w:type="dxa"/>
            <w:shd w:val="clear" w:color="auto" w:fill="auto"/>
            <w:noWrap/>
            <w:vAlign w:val="bottom"/>
            <w:hideMark/>
          </w:tcPr>
          <w:p w:rsidR="00792500" w:rsidRDefault="00792500" w:rsidP="000D1ABF">
            <w:pPr>
              <w:keepNext/>
              <w:spacing w:beforeLines="40" w:before="96" w:after="0" w:line="240" w:lineRule="auto"/>
              <w:jc w:val="center"/>
              <w:rPr>
                <w:rFonts w:ascii="Trebuchet MS" w:eastAsia="Times New Roman" w:hAnsi="Trebuchet MS"/>
                <w:color w:val="000000"/>
                <w:sz w:val="20"/>
                <w:szCs w:val="20"/>
                <w:lang w:eastAsia="fr-FR"/>
              </w:rPr>
            </w:pPr>
          </w:p>
        </w:tc>
        <w:tc>
          <w:tcPr>
            <w:tcW w:w="2008" w:type="dxa"/>
            <w:shd w:val="clear" w:color="auto" w:fill="auto"/>
            <w:noWrap/>
            <w:vAlign w:val="bottom"/>
            <w:hideMark/>
          </w:tcPr>
          <w:p w:rsidR="00792500" w:rsidRDefault="00792500" w:rsidP="000D1ABF">
            <w:pPr>
              <w:keepNext/>
              <w:spacing w:beforeLines="40" w:before="96" w:after="0" w:line="240" w:lineRule="auto"/>
              <w:jc w:val="center"/>
              <w:rPr>
                <w:rFonts w:ascii="Trebuchet MS" w:eastAsia="Times New Roman" w:hAnsi="Trebuchet MS"/>
                <w:color w:val="000000"/>
                <w:sz w:val="20"/>
                <w:szCs w:val="20"/>
                <w:lang w:eastAsia="fr-FR"/>
              </w:rPr>
            </w:pP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Compte en banque</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17,0</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w:t>
            </w: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Compte dans une institution de micro-finance</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12,1</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w:t>
            </w: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xml:space="preserve">Coopérative de crédit </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10,3</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w:t>
            </w: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Caisse Nationale d’Epargne</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w:t>
            </w:r>
          </w:p>
        </w:tc>
      </w:tr>
      <w:tr w:rsidR="00B811FE" w:rsidRPr="00686FF6" w:rsidTr="00854A98">
        <w:trPr>
          <w:trHeight w:val="206"/>
        </w:trPr>
        <w:tc>
          <w:tcPr>
            <w:tcW w:w="4894" w:type="dxa"/>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Tontine</w:t>
            </w:r>
          </w:p>
        </w:tc>
        <w:tc>
          <w:tcPr>
            <w:tcW w:w="1866"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77,9</w:t>
            </w:r>
          </w:p>
        </w:tc>
        <w:tc>
          <w:tcPr>
            <w:tcW w:w="2008" w:type="dxa"/>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89,6</w:t>
            </w:r>
          </w:p>
        </w:tc>
      </w:tr>
      <w:tr w:rsidR="00B811FE" w:rsidRPr="00686FF6" w:rsidTr="00854A98">
        <w:trPr>
          <w:trHeight w:val="206"/>
        </w:trPr>
        <w:tc>
          <w:tcPr>
            <w:tcW w:w="4894" w:type="dxa"/>
            <w:tcBorders>
              <w:bottom w:val="single" w:sz="4" w:space="0" w:color="auto"/>
            </w:tcBorders>
            <w:shd w:val="clear" w:color="auto" w:fill="auto"/>
            <w:noWrap/>
            <w:vAlign w:val="bottom"/>
            <w:hideMark/>
          </w:tcPr>
          <w:p w:rsidR="00B811FE" w:rsidRPr="00686FF6" w:rsidRDefault="00B811FE" w:rsidP="000D1ABF">
            <w:pPr>
              <w:keepNext/>
              <w:spacing w:beforeLines="40" w:before="96"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Autre</w:t>
            </w:r>
          </w:p>
        </w:tc>
        <w:tc>
          <w:tcPr>
            <w:tcW w:w="1866" w:type="dxa"/>
            <w:tcBorders>
              <w:bottom w:val="sing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w:t>
            </w:r>
          </w:p>
        </w:tc>
        <w:tc>
          <w:tcPr>
            <w:tcW w:w="2008" w:type="dxa"/>
            <w:tcBorders>
              <w:bottom w:val="sing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w:t>
            </w:r>
          </w:p>
        </w:tc>
      </w:tr>
      <w:tr w:rsidR="00B811FE" w:rsidRPr="00686FF6" w:rsidTr="00854A98">
        <w:trPr>
          <w:trHeight w:val="206"/>
        </w:trPr>
        <w:tc>
          <w:tcPr>
            <w:tcW w:w="4894" w:type="dxa"/>
            <w:tcBorders>
              <w:top w:val="single" w:sz="4" w:space="0" w:color="auto"/>
              <w:bottom w:val="double" w:sz="4" w:space="0" w:color="auto"/>
            </w:tcBorders>
            <w:shd w:val="clear" w:color="auto" w:fill="auto"/>
            <w:noWrap/>
            <w:vAlign w:val="bottom"/>
            <w:hideMark/>
          </w:tcPr>
          <w:p w:rsidR="00B811FE" w:rsidRPr="00854A98" w:rsidRDefault="00B811FE" w:rsidP="000D1ABF">
            <w:pPr>
              <w:keepNext/>
              <w:spacing w:beforeLines="40" w:before="96" w:after="0" w:line="240" w:lineRule="auto"/>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Effectif des épargnants</w:t>
            </w:r>
          </w:p>
        </w:tc>
        <w:tc>
          <w:tcPr>
            <w:tcW w:w="1866" w:type="dxa"/>
            <w:tcBorders>
              <w:top w:val="single" w:sz="4" w:space="0" w:color="auto"/>
              <w:bottom w:val="doub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2022</w:t>
            </w:r>
          </w:p>
        </w:tc>
        <w:tc>
          <w:tcPr>
            <w:tcW w:w="2008" w:type="dxa"/>
            <w:tcBorders>
              <w:top w:val="single" w:sz="4" w:space="0" w:color="auto"/>
              <w:bottom w:val="double" w:sz="4" w:space="0" w:color="auto"/>
            </w:tcBorders>
            <w:shd w:val="clear" w:color="auto" w:fill="auto"/>
            <w:noWrap/>
            <w:vAlign w:val="bottom"/>
            <w:hideMark/>
          </w:tcPr>
          <w:p w:rsidR="00792500" w:rsidRDefault="00B811FE" w:rsidP="000D1ABF">
            <w:pPr>
              <w:keepNext/>
              <w:spacing w:beforeLines="40" w:before="96" w:after="0" w:line="240" w:lineRule="auto"/>
              <w:jc w:val="center"/>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1245</w:t>
            </w:r>
          </w:p>
        </w:tc>
      </w:tr>
      <w:tr w:rsidR="00213D13" w:rsidRPr="00686FF6" w:rsidTr="00854A98">
        <w:trPr>
          <w:trHeight w:val="206"/>
        </w:trPr>
        <w:tc>
          <w:tcPr>
            <w:tcW w:w="8767" w:type="dxa"/>
            <w:gridSpan w:val="3"/>
            <w:tcBorders>
              <w:top w:val="double" w:sz="4" w:space="0" w:color="auto"/>
              <w:bottom w:val="nil"/>
            </w:tcBorders>
            <w:shd w:val="clear" w:color="auto" w:fill="auto"/>
            <w:noWrap/>
            <w:vAlign w:val="bottom"/>
            <w:hideMark/>
          </w:tcPr>
          <w:p w:rsidR="00213D13" w:rsidRPr="00854A98" w:rsidRDefault="00213D13" w:rsidP="000D1ABF">
            <w:pPr>
              <w:keepNext/>
              <w:spacing w:beforeLines="40" w:before="96" w:after="0" w:line="240" w:lineRule="auto"/>
              <w:rPr>
                <w:rFonts w:ascii="Trebuchet MS" w:eastAsia="Times New Roman" w:hAnsi="Trebuchet MS"/>
                <w:b/>
                <w:color w:val="000000"/>
                <w:sz w:val="20"/>
                <w:szCs w:val="20"/>
                <w:lang w:eastAsia="fr-FR"/>
              </w:rPr>
            </w:pPr>
            <w:r w:rsidRPr="00854A98">
              <w:rPr>
                <w:rFonts w:ascii="Trebuchet MS" w:hAnsi="Trebuchet MS" w:cs="Arial"/>
                <w:b/>
                <w:bCs/>
                <w:color w:val="000000"/>
                <w:sz w:val="20"/>
              </w:rPr>
              <w:t>Source : ECEB, INSAE, 2015</w:t>
            </w:r>
          </w:p>
        </w:tc>
      </w:tr>
    </w:tbl>
    <w:p w:rsidR="008A0679" w:rsidRDefault="00213D13" w:rsidP="003E0628">
      <w:pPr>
        <w:spacing w:before="240"/>
        <w:rPr>
          <w:rFonts w:ascii="Trebuchet MS" w:hAnsi="Trebuchet MS"/>
        </w:rPr>
      </w:pPr>
      <w:r>
        <w:rPr>
          <w:rFonts w:ascii="Trebuchet MS" w:hAnsi="Trebuchet MS"/>
        </w:rPr>
        <w:t>En ce qui concerne les montants épargné</w:t>
      </w:r>
      <w:r w:rsidR="003E0628">
        <w:rPr>
          <w:rFonts w:ascii="Trebuchet MS" w:hAnsi="Trebuchet MS"/>
        </w:rPr>
        <w:t>s</w:t>
      </w:r>
      <w:r>
        <w:rPr>
          <w:rFonts w:ascii="Trebuchet MS" w:hAnsi="Trebuchet MS"/>
        </w:rPr>
        <w:t xml:space="preserve">, en moyenne 14 967  FCFA ont été épargnés par l’ensemble des ménages. Le niveau moyen d’épargne en </w:t>
      </w:r>
      <w:r w:rsidR="008A0679" w:rsidRPr="00DA1258">
        <w:rPr>
          <w:rFonts w:ascii="Trebuchet MS" w:hAnsi="Trebuchet MS"/>
        </w:rPr>
        <w:t xml:space="preserve">milieu rural </w:t>
      </w:r>
      <w:r w:rsidR="00573D2E">
        <w:rPr>
          <w:rFonts w:ascii="Trebuchet MS" w:hAnsi="Trebuchet MS"/>
        </w:rPr>
        <w:t>(15 502 FCFA) est légèrement au-dessus de celui enregistré en milieu urbain (14 209 FCFA)</w:t>
      </w:r>
      <w:r w:rsidR="008A0679" w:rsidRPr="00DA1258">
        <w:rPr>
          <w:rFonts w:ascii="Trebuchet MS" w:hAnsi="Trebuchet MS"/>
        </w:rPr>
        <w:t>.</w:t>
      </w:r>
    </w:p>
    <w:p w:rsidR="008A0679" w:rsidRDefault="00573D2E" w:rsidP="008A0679">
      <w:pPr>
        <w:jc w:val="both"/>
        <w:rPr>
          <w:rFonts w:ascii="Trebuchet MS" w:hAnsi="Trebuchet MS"/>
        </w:rPr>
      </w:pPr>
      <w:r>
        <w:rPr>
          <w:rFonts w:ascii="Trebuchet MS" w:hAnsi="Trebuchet MS"/>
        </w:rPr>
        <w:t xml:space="preserve">L’analyse selon le département révèle que le niveau moyen d’épargne est plus </w:t>
      </w:r>
      <w:r w:rsidR="00A01BAA">
        <w:rPr>
          <w:rFonts w:ascii="Trebuchet MS" w:hAnsi="Trebuchet MS"/>
        </w:rPr>
        <w:t>élevé</w:t>
      </w:r>
      <w:r>
        <w:rPr>
          <w:rFonts w:ascii="Trebuchet MS" w:hAnsi="Trebuchet MS"/>
        </w:rPr>
        <w:t xml:space="preserve"> dans les départements de l’Alibori (24 445 FCFA), de la Donga (23 099 FCFA) et du Plateau (17 271 FCFA). Le département du Zou vient en dernière position avec un niveau d’épargne moyen des ménages estimé à 9</w:t>
      </w:r>
      <w:r w:rsidRPr="00573D2E">
        <w:rPr>
          <w:rFonts w:ascii="Trebuchet MS" w:hAnsi="Trebuchet MS"/>
        </w:rPr>
        <w:t> 188 </w:t>
      </w:r>
      <w:r>
        <w:rPr>
          <w:rFonts w:ascii="Trebuchet MS" w:hAnsi="Trebuchet MS"/>
        </w:rPr>
        <w:t>FCFA</w:t>
      </w:r>
      <w:r w:rsidR="008A0679" w:rsidRPr="00DA1258">
        <w:rPr>
          <w:rFonts w:ascii="Trebuchet MS" w:hAnsi="Trebuchet MS"/>
        </w:rPr>
        <w:t>.</w:t>
      </w:r>
    </w:p>
    <w:p w:rsidR="008A0679" w:rsidRDefault="008A0679"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BA58EF">
      <w:pPr>
        <w:spacing w:before="240" w:after="0" w:line="240" w:lineRule="auto"/>
        <w:rPr>
          <w:rFonts w:ascii="Trebuchet MS" w:hAnsi="Trebuchet MS"/>
        </w:rPr>
      </w:pPr>
      <w:bookmarkStart w:id="134" w:name="_Toc426359259"/>
      <w:r w:rsidRPr="000E4111">
        <w:rPr>
          <w:rFonts w:ascii="Trebuchet MS" w:hAnsi="Trebuchet MS"/>
          <w:b/>
          <w:sz w:val="20"/>
        </w:rPr>
        <w:t xml:space="preserve">Graphique </w:t>
      </w:r>
      <w:r w:rsidR="00792500" w:rsidRPr="000E4111">
        <w:rPr>
          <w:rFonts w:ascii="Trebuchet MS" w:hAnsi="Trebuchet MS"/>
          <w:b/>
          <w:sz w:val="20"/>
        </w:rPr>
        <w:fldChar w:fldCharType="begin"/>
      </w:r>
      <w:r w:rsidRPr="000E4111">
        <w:rPr>
          <w:rFonts w:ascii="Trebuchet MS" w:hAnsi="Trebuchet MS"/>
          <w:b/>
          <w:sz w:val="20"/>
        </w:rPr>
        <w:instrText xml:space="preserve"> SEQ Graphique \* ARABIC </w:instrText>
      </w:r>
      <w:r w:rsidR="00792500" w:rsidRPr="000E4111">
        <w:rPr>
          <w:rFonts w:ascii="Trebuchet MS" w:hAnsi="Trebuchet MS"/>
          <w:b/>
          <w:sz w:val="20"/>
        </w:rPr>
        <w:fldChar w:fldCharType="separate"/>
      </w:r>
      <w:r w:rsidR="00605DE4">
        <w:rPr>
          <w:rFonts w:ascii="Trebuchet MS" w:hAnsi="Trebuchet MS"/>
          <w:b/>
          <w:noProof/>
          <w:sz w:val="20"/>
        </w:rPr>
        <w:t>5</w:t>
      </w:r>
      <w:r w:rsidR="00792500" w:rsidRPr="000E4111">
        <w:rPr>
          <w:rFonts w:ascii="Trebuchet MS" w:hAnsi="Trebuchet MS"/>
          <w:b/>
          <w:sz w:val="20"/>
        </w:rPr>
        <w:fldChar w:fldCharType="end"/>
      </w:r>
      <w:r w:rsidRPr="000E4111">
        <w:rPr>
          <w:rFonts w:ascii="Trebuchet MS" w:hAnsi="Trebuchet MS"/>
          <w:b/>
          <w:sz w:val="20"/>
        </w:rPr>
        <w:t>: Répartition (%) des ménages selon la situation d’activité de leur chef selon le département et le milieu de résidence</w:t>
      </w:r>
      <w:bookmarkEnd w:id="134"/>
    </w:p>
    <w:p w:rsidR="000E4111" w:rsidRDefault="003C78E1" w:rsidP="008A0679">
      <w:pPr>
        <w:spacing w:after="0"/>
        <w:rPr>
          <w:rFonts w:ascii="Trebuchet MS" w:hAnsi="Trebuchet MS"/>
        </w:rPr>
      </w:pPr>
      <w:r w:rsidRPr="001954BB">
        <w:rPr>
          <w:rFonts w:ascii="Trebuchet MS" w:hAnsi="Trebuchet MS"/>
          <w:noProof/>
          <w:lang w:eastAsia="fr-FR"/>
        </w:rPr>
        <w:drawing>
          <wp:inline distT="0" distB="0" distL="0" distR="0">
            <wp:extent cx="5690634" cy="4879074"/>
            <wp:effectExtent l="0" t="0" r="24765" b="17145"/>
            <wp:docPr id="35"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E4111" w:rsidRPr="000E4111" w:rsidRDefault="000E4111" w:rsidP="008A0679">
      <w:pPr>
        <w:spacing w:after="0"/>
        <w:rPr>
          <w:rFonts w:ascii="Trebuchet MS" w:hAnsi="Trebuchet MS"/>
          <w:b/>
        </w:rPr>
      </w:pPr>
      <w:r w:rsidRPr="000E4111">
        <w:rPr>
          <w:rFonts w:ascii="Trebuchet MS" w:hAnsi="Trebuchet MS" w:cs="Arial"/>
          <w:b/>
          <w:bCs/>
          <w:color w:val="000000"/>
          <w:sz w:val="20"/>
        </w:rPr>
        <w:t>Source : ECEB, INSAE, 2015</w:t>
      </w:r>
    </w:p>
    <w:p w:rsidR="008A0679" w:rsidRDefault="00D54130" w:rsidP="001A1C25">
      <w:pPr>
        <w:spacing w:before="240"/>
        <w:jc w:val="both"/>
        <w:rPr>
          <w:rFonts w:ascii="Trebuchet MS" w:hAnsi="Trebuchet MS"/>
        </w:rPr>
      </w:pPr>
      <w:r>
        <w:rPr>
          <w:rFonts w:ascii="Trebuchet MS" w:hAnsi="Trebuchet MS"/>
        </w:rPr>
        <w:t xml:space="preserve">Par ailleurs, l’analyse selon le sexe du chef de ménage montre </w:t>
      </w:r>
      <w:r w:rsidR="008A0679" w:rsidRPr="00E56839">
        <w:rPr>
          <w:rFonts w:ascii="Trebuchet MS" w:hAnsi="Trebuchet MS"/>
        </w:rPr>
        <w:t xml:space="preserve">le </w:t>
      </w:r>
      <w:r>
        <w:rPr>
          <w:rFonts w:ascii="Trebuchet MS" w:hAnsi="Trebuchet MS"/>
        </w:rPr>
        <w:t xml:space="preserve">niveau moyen d’épargne effectué par les ménages dirigé par les hommes (16 435 </w:t>
      </w:r>
      <w:r>
        <w:rPr>
          <w:rFonts w:ascii="Trebuchet MS" w:hAnsi="Trebuchet MS"/>
          <w:caps/>
        </w:rPr>
        <w:t>FCFA</w:t>
      </w:r>
      <w:r>
        <w:rPr>
          <w:rFonts w:ascii="Trebuchet MS" w:hAnsi="Trebuchet MS"/>
        </w:rPr>
        <w:t xml:space="preserve">) représente près du double de celui effectué par les ménages dirigés par les femmes (8 989 </w:t>
      </w:r>
      <w:r>
        <w:rPr>
          <w:rFonts w:ascii="Trebuchet MS" w:hAnsi="Trebuchet MS"/>
          <w:caps/>
        </w:rPr>
        <w:t>FCFA</w:t>
      </w:r>
      <w:r>
        <w:rPr>
          <w:rFonts w:ascii="Trebuchet MS" w:hAnsi="Trebuchet MS"/>
        </w:rPr>
        <w:t>)</w:t>
      </w:r>
      <w:r w:rsidR="008A0679" w:rsidRPr="00E56839">
        <w:rPr>
          <w:rFonts w:ascii="Trebuchet MS" w:hAnsi="Trebuchet MS"/>
        </w:rPr>
        <w:t>.</w:t>
      </w:r>
    </w:p>
    <w:p w:rsidR="008A0679" w:rsidRDefault="008A0679" w:rsidP="008A0679">
      <w:pPr>
        <w:rPr>
          <w:rFonts w:ascii="Trebuchet MS" w:hAnsi="Trebuchet MS"/>
        </w:rPr>
      </w:pPr>
    </w:p>
    <w:p w:rsidR="00B811FE" w:rsidRPr="0072397D" w:rsidRDefault="00B811FE" w:rsidP="00B811FE">
      <w:pPr>
        <w:rPr>
          <w:rFonts w:ascii="Trebuchet MS" w:hAnsi="Trebuchet MS"/>
        </w:rPr>
        <w:sectPr w:rsidR="00B811FE" w:rsidRPr="0072397D" w:rsidSect="00CF086A">
          <w:pgSz w:w="11906" w:h="16838"/>
          <w:pgMar w:top="1383" w:right="1418" w:bottom="851" w:left="1418" w:header="567" w:footer="0" w:gutter="0"/>
          <w:cols w:space="708"/>
          <w:docGrid w:linePitch="360"/>
        </w:sectPr>
      </w:pPr>
    </w:p>
    <w:p w:rsidR="00B811FE" w:rsidRPr="0072397D" w:rsidRDefault="00B811FE" w:rsidP="000F50F6">
      <w:pPr>
        <w:pStyle w:val="Titre2"/>
      </w:pPr>
      <w:bookmarkStart w:id="135" w:name="_Toc425961648"/>
      <w:bookmarkStart w:id="136" w:name="_Toc426359395"/>
      <w:bookmarkStart w:id="137" w:name="_Toc426359442"/>
      <w:r w:rsidRPr="0072397D">
        <w:t xml:space="preserve">CHAPITRE 2 : </w:t>
      </w:r>
      <w:bookmarkEnd w:id="49"/>
      <w:bookmarkEnd w:id="50"/>
      <w:r w:rsidRPr="0072397D">
        <w:t>UTILISATION DE L’ENERGIE PAR LES MENAGES ET ADEQUATION AVEC LES BESOINS</w:t>
      </w:r>
      <w:bookmarkEnd w:id="135"/>
      <w:bookmarkEnd w:id="136"/>
      <w:bookmarkEnd w:id="137"/>
    </w:p>
    <w:p w:rsidR="00B811FE" w:rsidRPr="0072397D" w:rsidRDefault="00B811FE" w:rsidP="00952DF8">
      <w:pPr>
        <w:rPr>
          <w:rFonts w:ascii="Trebuchet MS" w:hAnsi="Trebuchet MS"/>
        </w:rPr>
      </w:pPr>
    </w:p>
    <w:bookmarkEnd w:id="51"/>
    <w:bookmarkEnd w:id="52"/>
    <w:p w:rsidR="00524397" w:rsidRPr="00524397" w:rsidRDefault="00524397" w:rsidP="00524397">
      <w:pPr>
        <w:keepNext/>
        <w:framePr w:dropCap="drop" w:lines="3" w:wrap="around" w:vAnchor="text" w:hAnchor="text"/>
        <w:spacing w:after="0" w:line="881" w:lineRule="exact"/>
        <w:jc w:val="both"/>
        <w:textAlignment w:val="baseline"/>
        <w:rPr>
          <w:rFonts w:ascii="Trebuchet MS" w:hAnsi="Trebuchet MS"/>
          <w:position w:val="4"/>
          <w:sz w:val="87"/>
        </w:rPr>
      </w:pPr>
      <w:r w:rsidRPr="00524397">
        <w:rPr>
          <w:rFonts w:ascii="Trebuchet MS" w:hAnsi="Trebuchet MS"/>
          <w:position w:val="4"/>
          <w:sz w:val="87"/>
        </w:rPr>
        <w:t>Q</w:t>
      </w:r>
    </w:p>
    <w:p w:rsidR="00524397" w:rsidRDefault="003D6702" w:rsidP="00432432">
      <w:pPr>
        <w:jc w:val="both"/>
        <w:rPr>
          <w:rFonts w:ascii="Trebuchet MS" w:hAnsi="Trebuchet MS"/>
        </w:rPr>
      </w:pPr>
      <w:r>
        <w:rPr>
          <w:rFonts w:ascii="Trebuchet MS" w:hAnsi="Trebuchet MS"/>
        </w:rPr>
        <w:t>uels sont les sources d’énergies utilisées par les ménages</w:t>
      </w:r>
      <w:r w:rsidR="00524397">
        <w:rPr>
          <w:rFonts w:ascii="Trebuchet MS" w:hAnsi="Trebuchet MS"/>
        </w:rPr>
        <w:t xml:space="preserve"> et les dépenses qu’elles leur génèrent</w:t>
      </w:r>
      <w:r>
        <w:rPr>
          <w:rFonts w:ascii="Trebuchet MS" w:hAnsi="Trebuchet MS"/>
        </w:rPr>
        <w:t xml:space="preserve"> ? A quelles fins ces sources d’énergies sont-elles utilisées ? Quelles sont les sources d’énergies auxquelles les ménages ont recours </w:t>
      </w:r>
      <w:r w:rsidR="00432432">
        <w:rPr>
          <w:rFonts w:ascii="Trebuchet MS" w:hAnsi="Trebuchet MS"/>
        </w:rPr>
        <w:t xml:space="preserve">en cas de coupure d’électricité ? Combien de ménages en moyenne sont raccordés au même compteur ? </w:t>
      </w:r>
      <w:r w:rsidR="00524397">
        <w:rPr>
          <w:rFonts w:ascii="Trebuchet MS" w:hAnsi="Trebuchet MS"/>
        </w:rPr>
        <w:t xml:space="preserve">Les sources d’énergie utilisées arrivent-elles à satisfaire les besoins des ménages ? Ce sont là autant d’interrogations auxquelles ce chapitre se propose de répondre </w:t>
      </w:r>
    </w:p>
    <w:p w:rsidR="002320E0" w:rsidRPr="0072397D" w:rsidRDefault="001B1490" w:rsidP="001B1490">
      <w:pPr>
        <w:pStyle w:val="Titre3"/>
        <w:numPr>
          <w:ilvl w:val="0"/>
          <w:numId w:val="0"/>
        </w:numPr>
      </w:pPr>
      <w:bookmarkStart w:id="138" w:name="_Toc426359396"/>
      <w:bookmarkStart w:id="139" w:name="_Toc426359443"/>
      <w:r>
        <w:t>2.1.</w:t>
      </w:r>
      <w:r w:rsidRPr="0072397D">
        <w:t xml:space="preserve"> Accès</w:t>
      </w:r>
      <w:r w:rsidR="002320E0" w:rsidRPr="0072397D">
        <w:t xml:space="preserve"> à l’électricité et sources d’énergie utilisées</w:t>
      </w:r>
      <w:bookmarkEnd w:id="138"/>
      <w:bookmarkEnd w:id="139"/>
    </w:p>
    <w:p w:rsidR="002320E0" w:rsidRPr="0079150E" w:rsidRDefault="001B1490" w:rsidP="00F03E08">
      <w:pPr>
        <w:pStyle w:val="Titre4"/>
      </w:pPr>
      <w:bookmarkStart w:id="140" w:name="_Toc426359444"/>
      <w:r>
        <w:t xml:space="preserve">2.1.1. </w:t>
      </w:r>
      <w:r w:rsidR="002320E0" w:rsidRPr="0079150E">
        <w:t>Connexion au réseau électrique de la SBEE</w:t>
      </w:r>
      <w:bookmarkEnd w:id="140"/>
    </w:p>
    <w:p w:rsidR="002320E0" w:rsidRPr="0056269C" w:rsidRDefault="002320E0" w:rsidP="00CE290B">
      <w:pPr>
        <w:jc w:val="both"/>
        <w:rPr>
          <w:rFonts w:ascii="Trebuchet MS" w:hAnsi="Trebuchet MS"/>
        </w:rPr>
      </w:pPr>
      <w:r w:rsidRPr="0056269C">
        <w:rPr>
          <w:rFonts w:ascii="Trebuchet MS" w:hAnsi="Trebuchet MS"/>
        </w:rPr>
        <w:t xml:space="preserve">L’analyse des résultats du </w:t>
      </w:r>
      <w:r>
        <w:rPr>
          <w:rFonts w:ascii="Trebuchet MS" w:hAnsi="Trebuchet MS"/>
        </w:rPr>
        <w:t>graphique ci-après</w:t>
      </w:r>
      <w:r w:rsidRPr="0056269C">
        <w:rPr>
          <w:rFonts w:ascii="Trebuchet MS" w:hAnsi="Trebuchet MS"/>
        </w:rPr>
        <w:t xml:space="preserve"> montre que dans l’ensemble, seulement 34,7% des ménagessont connectés au réseau électrique SBEE. </w:t>
      </w:r>
      <w:r>
        <w:rPr>
          <w:rFonts w:ascii="Trebuchet MS" w:hAnsi="Trebuchet MS"/>
        </w:rPr>
        <w:t xml:space="preserve">En milieu urbain, la proportion de ménages connectés au réseau électrique de la SBEE est estimée à </w:t>
      </w:r>
      <w:r w:rsidRPr="0056269C">
        <w:rPr>
          <w:rFonts w:ascii="Trebuchet MS" w:hAnsi="Trebuchet MS"/>
        </w:rPr>
        <w:t>54,5% contre 20,8% en milieu rural</w:t>
      </w:r>
      <w:r>
        <w:rPr>
          <w:rFonts w:ascii="Trebuchet MS" w:hAnsi="Trebuchet MS"/>
        </w:rPr>
        <w:t>.Au niveau départemental, les proportions l</w:t>
      </w:r>
      <w:r w:rsidRPr="0056269C">
        <w:rPr>
          <w:rFonts w:ascii="Trebuchet MS" w:hAnsi="Trebuchet MS"/>
        </w:rPr>
        <w:t xml:space="preserve">es plus </w:t>
      </w:r>
      <w:r>
        <w:rPr>
          <w:rFonts w:ascii="Trebuchet MS" w:hAnsi="Trebuchet MS"/>
        </w:rPr>
        <w:t>élevées de</w:t>
      </w:r>
      <w:r w:rsidRPr="0056269C">
        <w:rPr>
          <w:rFonts w:ascii="Trebuchet MS" w:hAnsi="Trebuchet MS"/>
        </w:rPr>
        <w:t xml:space="preserve"> ménages connectés au réseau électrique SBEE sont enregistré</w:t>
      </w:r>
      <w:r>
        <w:rPr>
          <w:rFonts w:ascii="Trebuchet MS" w:hAnsi="Trebuchet MS"/>
        </w:rPr>
        <w:t>e</w:t>
      </w:r>
      <w:r w:rsidRPr="0056269C">
        <w:rPr>
          <w:rFonts w:ascii="Trebuchet MS" w:hAnsi="Trebuchet MS"/>
        </w:rPr>
        <w:t xml:space="preserve">s dans les départements du Littoral (88,5%), suivi de l’Atlantique (55,7%) et de l’Ouémé (49,6%). Le département du Couffo (7,9%) enregistre le plus faible pourcentage des ménages connectés au réseau électrique SBEE. </w:t>
      </w:r>
    </w:p>
    <w:p w:rsidR="00BA58EF" w:rsidRPr="00013169" w:rsidRDefault="00BA58EF" w:rsidP="001B1490">
      <w:pPr>
        <w:keepNext/>
        <w:spacing w:after="0"/>
        <w:jc w:val="both"/>
        <w:rPr>
          <w:rFonts w:ascii="Trebuchet MS" w:hAnsi="Trebuchet MS"/>
          <w:sz w:val="20"/>
          <w:szCs w:val="20"/>
        </w:rPr>
      </w:pPr>
      <w:bookmarkStart w:id="141" w:name="_Toc426359260"/>
      <w:r w:rsidRPr="00013169">
        <w:rPr>
          <w:rFonts w:ascii="Trebuchet MS" w:hAnsi="Trebuchet MS"/>
          <w:b/>
          <w:sz w:val="20"/>
          <w:szCs w:val="20"/>
        </w:rPr>
        <w:t xml:space="preserve">Graphique </w:t>
      </w:r>
      <w:r w:rsidR="00792500" w:rsidRPr="00013169">
        <w:rPr>
          <w:rFonts w:ascii="Trebuchet MS" w:hAnsi="Trebuchet MS"/>
          <w:b/>
          <w:sz w:val="20"/>
          <w:szCs w:val="20"/>
        </w:rPr>
        <w:fldChar w:fldCharType="begin"/>
      </w:r>
      <w:r w:rsidRPr="00013169">
        <w:rPr>
          <w:rFonts w:ascii="Trebuchet MS" w:hAnsi="Trebuchet MS"/>
          <w:b/>
          <w:sz w:val="20"/>
          <w:szCs w:val="20"/>
        </w:rPr>
        <w:instrText xml:space="preserve"> SEQ Graphique \* ARABIC </w:instrText>
      </w:r>
      <w:r w:rsidR="00792500" w:rsidRPr="00013169">
        <w:rPr>
          <w:rFonts w:ascii="Trebuchet MS" w:hAnsi="Trebuchet MS"/>
          <w:b/>
          <w:sz w:val="20"/>
          <w:szCs w:val="20"/>
        </w:rPr>
        <w:fldChar w:fldCharType="separate"/>
      </w:r>
      <w:r w:rsidR="00605DE4">
        <w:rPr>
          <w:rFonts w:ascii="Trebuchet MS" w:hAnsi="Trebuchet MS"/>
          <w:b/>
          <w:noProof/>
          <w:sz w:val="20"/>
          <w:szCs w:val="20"/>
        </w:rPr>
        <w:t>6</w:t>
      </w:r>
      <w:r w:rsidR="00792500" w:rsidRPr="00013169">
        <w:rPr>
          <w:rFonts w:ascii="Trebuchet MS" w:hAnsi="Trebuchet MS"/>
          <w:b/>
          <w:sz w:val="20"/>
          <w:szCs w:val="20"/>
        </w:rPr>
        <w:fldChar w:fldCharType="end"/>
      </w:r>
      <w:r w:rsidRPr="00013169">
        <w:rPr>
          <w:rFonts w:ascii="Trebuchet MS" w:hAnsi="Trebuchet MS"/>
          <w:b/>
          <w:sz w:val="20"/>
          <w:szCs w:val="20"/>
        </w:rPr>
        <w:t>: Pourcentage de ménages connectés au réseau électrique de la SBEE par milieu de résidence et par département</w:t>
      </w:r>
      <w:bookmarkEnd w:id="141"/>
    </w:p>
    <w:p w:rsidR="00CE290B" w:rsidRPr="00013169" w:rsidRDefault="00013169" w:rsidP="001B1490">
      <w:pPr>
        <w:keepNext/>
        <w:spacing w:after="0"/>
        <w:rPr>
          <w:rFonts w:ascii="Trebuchet MS" w:hAnsi="Trebuchet MS"/>
          <w:sz w:val="20"/>
          <w:szCs w:val="20"/>
        </w:rPr>
      </w:pPr>
      <w:r w:rsidRPr="005C5E4B">
        <w:rPr>
          <w:rFonts w:ascii="Trebuchet MS" w:hAnsi="Trebuchet MS"/>
          <w:noProof/>
          <w:lang w:eastAsia="fr-FR"/>
        </w:rPr>
        <w:drawing>
          <wp:inline distT="0" distB="0" distL="0" distR="0">
            <wp:extent cx="5597791" cy="3955311"/>
            <wp:effectExtent l="0" t="0" r="22225" b="26670"/>
            <wp:docPr id="38"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E290B" w:rsidRPr="00013169" w:rsidRDefault="00013169" w:rsidP="00A25AEC">
      <w:pPr>
        <w:keepNext/>
        <w:rPr>
          <w:rFonts w:ascii="Trebuchet MS" w:hAnsi="Trebuchet MS"/>
          <w:b/>
          <w:sz w:val="18"/>
          <w:szCs w:val="20"/>
        </w:rPr>
      </w:pPr>
      <w:r w:rsidRPr="00013169">
        <w:rPr>
          <w:rFonts w:ascii="Trebuchet MS" w:hAnsi="Trebuchet MS" w:cs="Arial"/>
          <w:b/>
          <w:bCs/>
          <w:color w:val="000000"/>
          <w:sz w:val="20"/>
        </w:rPr>
        <w:t>Source : ECEB, INSAE, 2015</w:t>
      </w:r>
    </w:p>
    <w:p w:rsidR="002320E0" w:rsidRDefault="002320E0" w:rsidP="006C259F">
      <w:pPr>
        <w:jc w:val="both"/>
        <w:rPr>
          <w:rFonts w:ascii="Trebuchet MS" w:hAnsi="Trebuchet MS"/>
        </w:rPr>
      </w:pPr>
      <w:r w:rsidRPr="0056269C">
        <w:rPr>
          <w:rFonts w:ascii="Trebuchet MS" w:hAnsi="Trebuchet MS"/>
        </w:rPr>
        <w:t>En ce qui concerne la répartition suivant le sexe</w:t>
      </w:r>
      <w:r>
        <w:rPr>
          <w:rFonts w:ascii="Trebuchet MS" w:hAnsi="Trebuchet MS"/>
        </w:rPr>
        <w:t xml:space="preserve"> du chef de ménage</w:t>
      </w:r>
      <w:r w:rsidRPr="0056269C">
        <w:rPr>
          <w:rFonts w:ascii="Trebuchet MS" w:hAnsi="Trebuchet MS"/>
        </w:rPr>
        <w:t xml:space="preserve">, </w:t>
      </w:r>
      <w:r>
        <w:rPr>
          <w:rFonts w:ascii="Trebuchet MS" w:hAnsi="Trebuchet MS"/>
        </w:rPr>
        <w:t xml:space="preserve">les ménages dirigés par </w:t>
      </w:r>
      <w:r w:rsidRPr="0056269C">
        <w:rPr>
          <w:rFonts w:ascii="Trebuchet MS" w:hAnsi="Trebuchet MS"/>
        </w:rPr>
        <w:t xml:space="preserve">les femmes </w:t>
      </w:r>
      <w:r>
        <w:rPr>
          <w:rFonts w:ascii="Trebuchet MS" w:hAnsi="Trebuchet MS"/>
        </w:rPr>
        <w:t>sont plus nombreux</w:t>
      </w:r>
      <w:r w:rsidRPr="0056269C">
        <w:rPr>
          <w:rFonts w:ascii="Trebuchet MS" w:hAnsi="Trebuchet MS"/>
        </w:rPr>
        <w:t xml:space="preserve"> que</w:t>
      </w:r>
      <w:r>
        <w:rPr>
          <w:rFonts w:ascii="Trebuchet MS" w:hAnsi="Trebuchet MS"/>
        </w:rPr>
        <w:t xml:space="preserve"> ceux dirigés par</w:t>
      </w:r>
      <w:r w:rsidRPr="0056269C">
        <w:rPr>
          <w:rFonts w:ascii="Trebuchet MS" w:hAnsi="Trebuchet MS"/>
        </w:rPr>
        <w:t xml:space="preserve"> les hommes à </w:t>
      </w:r>
      <w:r>
        <w:rPr>
          <w:rFonts w:ascii="Trebuchet MS" w:hAnsi="Trebuchet MS"/>
        </w:rPr>
        <w:t xml:space="preserve">se connecter </w:t>
      </w:r>
      <w:r w:rsidRPr="0056269C">
        <w:rPr>
          <w:rFonts w:ascii="Trebuchet MS" w:hAnsi="Trebuchet MS"/>
        </w:rPr>
        <w:t xml:space="preserve">au réseau électrique SBEE (37,2% contre 34,1%). </w:t>
      </w:r>
    </w:p>
    <w:p w:rsidR="002320E0" w:rsidRDefault="002320E0" w:rsidP="002320E0">
      <w:pPr>
        <w:spacing w:after="0"/>
        <w:jc w:val="both"/>
        <w:rPr>
          <w:rFonts w:ascii="Trebuchet MS" w:hAnsi="Trebuchet MS"/>
        </w:rPr>
      </w:pPr>
    </w:p>
    <w:p w:rsidR="00A25AEC" w:rsidRPr="00A25AEC" w:rsidRDefault="00A25AEC" w:rsidP="00070DCD">
      <w:pPr>
        <w:keepNext/>
        <w:spacing w:after="0" w:line="240" w:lineRule="auto"/>
        <w:jc w:val="both"/>
        <w:rPr>
          <w:rFonts w:ascii="Trebuchet MS" w:hAnsi="Trebuchet MS"/>
          <w:b/>
          <w:sz w:val="20"/>
        </w:rPr>
      </w:pPr>
      <w:bookmarkStart w:id="142" w:name="_Toc426359335"/>
      <w:r w:rsidRPr="00A25AEC">
        <w:rPr>
          <w:rFonts w:ascii="Trebuchet MS" w:hAnsi="Trebuchet MS"/>
          <w:b/>
          <w:sz w:val="20"/>
        </w:rPr>
        <w:t xml:space="preserve">Tableau </w:t>
      </w:r>
      <w:r w:rsidR="00792500" w:rsidRPr="00A25AEC">
        <w:rPr>
          <w:rFonts w:ascii="Trebuchet MS" w:hAnsi="Trebuchet MS"/>
          <w:b/>
          <w:sz w:val="20"/>
        </w:rPr>
        <w:fldChar w:fldCharType="begin"/>
      </w:r>
      <w:r w:rsidRPr="00A25AEC">
        <w:rPr>
          <w:rFonts w:ascii="Trebuchet MS" w:hAnsi="Trebuchet MS"/>
          <w:b/>
          <w:sz w:val="20"/>
        </w:rPr>
        <w:instrText xml:space="preserve"> SEQ Tableau \* ARABIC </w:instrText>
      </w:r>
      <w:r w:rsidR="00792500" w:rsidRPr="00A25AEC">
        <w:rPr>
          <w:rFonts w:ascii="Trebuchet MS" w:hAnsi="Trebuchet MS"/>
          <w:b/>
          <w:sz w:val="20"/>
        </w:rPr>
        <w:fldChar w:fldCharType="separate"/>
      </w:r>
      <w:r w:rsidR="00556962">
        <w:rPr>
          <w:rFonts w:ascii="Trebuchet MS" w:hAnsi="Trebuchet MS"/>
          <w:b/>
          <w:noProof/>
          <w:sz w:val="20"/>
        </w:rPr>
        <w:t>16</w:t>
      </w:r>
      <w:r w:rsidR="00792500" w:rsidRPr="00A25AEC">
        <w:rPr>
          <w:rFonts w:ascii="Trebuchet MS" w:hAnsi="Trebuchet MS"/>
          <w:b/>
          <w:sz w:val="20"/>
        </w:rPr>
        <w:fldChar w:fldCharType="end"/>
      </w:r>
      <w:r w:rsidRPr="00A25AEC">
        <w:rPr>
          <w:rFonts w:ascii="Trebuchet MS" w:hAnsi="Trebuchet MS"/>
          <w:b/>
          <w:sz w:val="20"/>
        </w:rPr>
        <w:t xml:space="preserve"> : Pourcentage de ménages selon leur statut de connexion au réseau électrique SBEE selon le sexe, le niveau d’instruction du chef de ménage et les caractéristiques du logement</w:t>
      </w:r>
      <w:bookmarkEnd w:id="142"/>
    </w:p>
    <w:tbl>
      <w:tblPr>
        <w:tblW w:w="9122" w:type="dxa"/>
        <w:tblInd w:w="70"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991"/>
        <w:gridCol w:w="1426"/>
        <w:gridCol w:w="1568"/>
        <w:gridCol w:w="997"/>
        <w:gridCol w:w="1140"/>
      </w:tblGrid>
      <w:tr w:rsidR="002320E0" w:rsidRPr="00990270" w:rsidTr="00070DCD">
        <w:trPr>
          <w:trHeight w:val="349"/>
        </w:trPr>
        <w:tc>
          <w:tcPr>
            <w:tcW w:w="3991" w:type="dxa"/>
            <w:tcBorders>
              <w:bottom w:val="nil"/>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3991" w:type="dxa"/>
            <w:gridSpan w:val="3"/>
            <w:tcBorders>
              <w:top w:val="double" w:sz="4" w:space="0" w:color="auto"/>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Pourcentage des ménages</w:t>
            </w:r>
          </w:p>
        </w:tc>
        <w:tc>
          <w:tcPr>
            <w:tcW w:w="1140" w:type="dxa"/>
            <w:vMerge w:val="restart"/>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p w:rsidR="002320E0" w:rsidRPr="00990270" w:rsidRDefault="002320E0" w:rsidP="00070DCD">
            <w:pPr>
              <w:keepNext/>
              <w:spacing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Effectif des ménages</w:t>
            </w:r>
          </w:p>
        </w:tc>
      </w:tr>
      <w:tr w:rsidR="002320E0" w:rsidRPr="00990270" w:rsidTr="00070DCD">
        <w:trPr>
          <w:trHeight w:val="737"/>
        </w:trPr>
        <w:tc>
          <w:tcPr>
            <w:tcW w:w="3991" w:type="dxa"/>
            <w:tcBorders>
              <w:top w:val="nil"/>
              <w:bottom w:val="sing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1426" w:type="dxa"/>
            <w:tcBorders>
              <w:top w:val="single" w:sz="4" w:space="0" w:color="auto"/>
              <w:bottom w:val="single" w:sz="4" w:space="0" w:color="auto"/>
            </w:tcBorders>
            <w:shd w:val="clear" w:color="auto" w:fill="auto"/>
            <w:vAlign w:val="center"/>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connectés au électrique SBEE</w:t>
            </w:r>
          </w:p>
        </w:tc>
        <w:tc>
          <w:tcPr>
            <w:tcW w:w="1568" w:type="dxa"/>
            <w:tcBorders>
              <w:top w:val="single" w:sz="4" w:space="0" w:color="auto"/>
              <w:bottom w:val="single" w:sz="4" w:space="0" w:color="auto"/>
            </w:tcBorders>
            <w:shd w:val="clear" w:color="auto" w:fill="auto"/>
            <w:vAlign w:val="center"/>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Non connecté au réseau électrique SBEE</w:t>
            </w:r>
          </w:p>
        </w:tc>
        <w:tc>
          <w:tcPr>
            <w:tcW w:w="997" w:type="dxa"/>
            <w:tcBorders>
              <w:top w:val="nil"/>
              <w:bottom w:val="single" w:sz="4" w:space="0" w:color="auto"/>
            </w:tcBorders>
            <w:shd w:val="clear" w:color="auto" w:fill="auto"/>
            <w:vAlign w:val="center"/>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Total</w:t>
            </w:r>
          </w:p>
        </w:tc>
        <w:tc>
          <w:tcPr>
            <w:tcW w:w="1140" w:type="dxa"/>
            <w:vMerge/>
            <w:tcBorders>
              <w:bottom w:val="single" w:sz="4" w:space="0" w:color="auto"/>
            </w:tcBorders>
            <w:shd w:val="clear" w:color="auto" w:fill="auto"/>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tcBorders>
              <w:top w:val="sing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Sexe du CM</w:t>
            </w:r>
          </w:p>
        </w:tc>
        <w:tc>
          <w:tcPr>
            <w:tcW w:w="1426"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tcBorders>
              <w:top w:val="single" w:sz="4" w:space="0" w:color="auto"/>
            </w:tcBorders>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Masculin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65,9</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3064</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Féminin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37,2</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62,8</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752</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Niveau d'instruction du CM</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Maternelle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85,7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Primaire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Secondaire1</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Secondaire2</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66,5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33,4</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Supérieur</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83,3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Aucun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17,9</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82,1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1588</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Autre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NSP</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73,5</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Caractéristiques du logement</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Autre Nature du sol + Autre nature mur+ Autre nature du toit</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Bouse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99,6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Dalle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97,2</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93,4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Tuile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Dalle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52</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55,0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45,0</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1195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Tuile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61,5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Palme/Bamb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Semi-dur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Terre + Paille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9,6</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73,0</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516</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51,6</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48,5</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219</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Palme/Bambou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Semi-dur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96,1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Paille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Terre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99,6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826</w:t>
            </w:r>
          </w:p>
        </w:tc>
      </w:tr>
      <w:tr w:rsidR="002320E0" w:rsidRPr="00990270" w:rsidTr="00070DCD">
        <w:trPr>
          <w:trHeight w:val="104"/>
        </w:trPr>
        <w:tc>
          <w:tcPr>
            <w:tcW w:w="3991" w:type="dxa"/>
            <w:tcBorders>
              <w:bottom w:val="single" w:sz="4" w:space="0" w:color="auto"/>
            </w:tcBorders>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Autres type de maison</w:t>
            </w:r>
          </w:p>
        </w:tc>
        <w:tc>
          <w:tcPr>
            <w:tcW w:w="1426" w:type="dxa"/>
            <w:tcBorders>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28,0</w:t>
            </w:r>
          </w:p>
        </w:tc>
        <w:tc>
          <w:tcPr>
            <w:tcW w:w="1568" w:type="dxa"/>
            <w:tcBorders>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72,1</w:t>
            </w:r>
          </w:p>
        </w:tc>
        <w:tc>
          <w:tcPr>
            <w:tcW w:w="997" w:type="dxa"/>
            <w:tcBorders>
              <w:bottom w:val="single" w:sz="4" w:space="0" w:color="auto"/>
            </w:tcBorders>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tcBorders>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168</w:t>
            </w:r>
          </w:p>
        </w:tc>
      </w:tr>
      <w:tr w:rsidR="002320E0" w:rsidRPr="00990270" w:rsidTr="00070DCD">
        <w:trPr>
          <w:trHeight w:val="71"/>
        </w:trPr>
        <w:tc>
          <w:tcPr>
            <w:tcW w:w="3991"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Ensemble</w:t>
            </w:r>
          </w:p>
        </w:tc>
        <w:tc>
          <w:tcPr>
            <w:tcW w:w="1426"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34,7</w:t>
            </w:r>
          </w:p>
        </w:tc>
        <w:tc>
          <w:tcPr>
            <w:tcW w:w="1568"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65,3</w:t>
            </w:r>
          </w:p>
        </w:tc>
        <w:tc>
          <w:tcPr>
            <w:tcW w:w="997" w:type="dxa"/>
            <w:tcBorders>
              <w:top w:val="single" w:sz="4" w:space="0" w:color="auto"/>
              <w:bottom w:val="double" w:sz="4" w:space="0" w:color="auto"/>
            </w:tcBorders>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070DCD">
        <w:trPr>
          <w:trHeight w:val="277"/>
        </w:trPr>
        <w:tc>
          <w:tcPr>
            <w:tcW w:w="9122" w:type="dxa"/>
            <w:gridSpan w:val="5"/>
            <w:tcBorders>
              <w:top w:val="double" w:sz="4" w:space="0" w:color="auto"/>
              <w:bottom w:val="nil"/>
            </w:tcBorders>
            <w:shd w:val="clear" w:color="auto" w:fill="auto"/>
            <w:noWrap/>
            <w:vAlign w:val="bottom"/>
            <w:hideMark/>
          </w:tcPr>
          <w:p w:rsidR="002320E0" w:rsidRPr="00990270" w:rsidRDefault="002320E0" w:rsidP="000D1ABF">
            <w:pPr>
              <w:keepNext/>
              <w:spacing w:beforeLines="40" w:before="96" w:line="240" w:lineRule="auto"/>
              <w:rPr>
                <w:rFonts w:ascii="Trebuchet MS" w:eastAsia="Times New Roman" w:hAnsi="Trebuchet MS"/>
                <w:b/>
                <w:color w:val="000000"/>
                <w:lang w:eastAsia="fr-FR"/>
              </w:rPr>
            </w:pPr>
            <w:r w:rsidRPr="00990270">
              <w:rPr>
                <w:rFonts w:ascii="Trebuchet MS" w:hAnsi="Trebuchet MS" w:cs="Arial"/>
                <w:b/>
                <w:bCs/>
                <w:color w:val="000000"/>
              </w:rPr>
              <w:t>Source : ECEB, INSAE, 2015</w:t>
            </w:r>
          </w:p>
        </w:tc>
      </w:tr>
    </w:tbl>
    <w:p w:rsidR="002320E0" w:rsidRDefault="002320E0" w:rsidP="00070DCD">
      <w:pPr>
        <w:spacing w:before="240"/>
        <w:jc w:val="both"/>
        <w:rPr>
          <w:rFonts w:ascii="Trebuchet MS" w:hAnsi="Trebuchet MS"/>
        </w:rPr>
      </w:pPr>
      <w:r w:rsidRPr="0056269C">
        <w:rPr>
          <w:rFonts w:ascii="Trebuchet MS" w:hAnsi="Trebuchet MS"/>
        </w:rPr>
        <w:t>Pour ce qui est du niveau d’instruction</w:t>
      </w:r>
      <w:r>
        <w:rPr>
          <w:rFonts w:ascii="Trebuchet MS" w:hAnsi="Trebuchet MS"/>
        </w:rPr>
        <w:t xml:space="preserve"> du chef de ménage</w:t>
      </w:r>
      <w:r w:rsidRPr="0056269C">
        <w:rPr>
          <w:rFonts w:ascii="Trebuchet MS" w:hAnsi="Trebuchet MS"/>
        </w:rPr>
        <w:t xml:space="preserve">, on remarque qu’au fur et à mesure que le niveau d’instruction </w:t>
      </w:r>
      <w:r>
        <w:rPr>
          <w:rFonts w:ascii="Trebuchet MS" w:hAnsi="Trebuchet MS"/>
        </w:rPr>
        <w:t xml:space="preserve">du chef de ménage </w:t>
      </w:r>
      <w:r w:rsidRPr="0056269C">
        <w:rPr>
          <w:rFonts w:ascii="Trebuchet MS" w:hAnsi="Trebuchet MS"/>
        </w:rPr>
        <w:t>augmente, le pourcentage des ménages connectés au réseau électrique SBEE aussi croît. En effet, on relève de l’analyse du tableau comme pourcentage de ménages connectés au réseau électrique SBEE, 14,3% pour les chefs de ménage ayant le niveau d’instruction maternelle, 39,7% pour ceux du primaire, 49,7% pour ceux du secondaire 1, 66,5% au secondaire 2 et 83,3% pour ceux ayant le niveau d’instruction supérieure. Parmi les chefs de ménage n’ayant aucun niveau d’instruction, seulement 17,9% d’eux sont connectés au réseau électrique SBEE.</w:t>
      </w:r>
    </w:p>
    <w:p w:rsidR="002320E0" w:rsidRPr="00E36AB0" w:rsidRDefault="00AF4CAF" w:rsidP="00E36AB0">
      <w:pPr>
        <w:jc w:val="both"/>
        <w:rPr>
          <w:rFonts w:ascii="Trebuchet MS" w:hAnsi="Trebuchet MS"/>
        </w:rPr>
      </w:pPr>
      <w:r w:rsidRPr="0056269C">
        <w:rPr>
          <w:rFonts w:ascii="Trebuchet MS" w:hAnsi="Trebuchet MS"/>
        </w:rPr>
        <w:t>Quant</w:t>
      </w:r>
      <w:r w:rsidR="002320E0" w:rsidRPr="0056269C">
        <w:rPr>
          <w:rFonts w:ascii="Trebuchet MS" w:hAnsi="Trebuchet MS"/>
        </w:rPr>
        <w:t xml:space="preserve"> à la répartition suivant les caractéristiques du logement, les pourcentages les plus élevé</w:t>
      </w:r>
      <w:r w:rsidR="002320E0">
        <w:rPr>
          <w:rFonts w:ascii="Trebuchet MS" w:hAnsi="Trebuchet MS"/>
        </w:rPr>
        <w:t>s</w:t>
      </w:r>
      <w:r w:rsidR="002320E0" w:rsidRPr="0056269C">
        <w:rPr>
          <w:rFonts w:ascii="Trebuchet MS" w:hAnsi="Trebuchet MS"/>
        </w:rPr>
        <w:t xml:space="preserve"> des ménages connectés au réseau électrique SBEE sont enregistrés au sein des ménages dont les caractéristiques du logement sont </w:t>
      </w:r>
      <w:r w:rsidR="002320E0">
        <w:rPr>
          <w:rFonts w:ascii="Trebuchet MS" w:hAnsi="Trebuchet MS"/>
        </w:rPr>
        <w:t>« </w:t>
      </w:r>
      <w:r w:rsidR="002320E0" w:rsidRPr="0056269C">
        <w:rPr>
          <w:rFonts w:ascii="Trebuchet MS" w:hAnsi="Trebuchet MS"/>
        </w:rPr>
        <w:t>Carreaux + Brique + Dalle</w:t>
      </w:r>
      <w:r w:rsidR="002320E0">
        <w:rPr>
          <w:rFonts w:ascii="Trebuchet MS" w:hAnsi="Trebuchet MS"/>
        </w:rPr>
        <w:t> »</w:t>
      </w:r>
      <w:r w:rsidR="002320E0" w:rsidRPr="0056269C">
        <w:rPr>
          <w:rFonts w:ascii="Trebuchet MS" w:hAnsi="Trebuchet MS"/>
        </w:rPr>
        <w:t xml:space="preserve"> (97,2%) suivis de ceux les caractéristiques du logement sont </w:t>
      </w:r>
      <w:r w:rsidR="002320E0">
        <w:rPr>
          <w:rFonts w:ascii="Trebuchet MS" w:hAnsi="Trebuchet MS"/>
        </w:rPr>
        <w:t>« </w:t>
      </w:r>
      <w:r w:rsidR="002320E0" w:rsidRPr="0056269C">
        <w:rPr>
          <w:rFonts w:ascii="Trebuchet MS" w:hAnsi="Trebuchet MS"/>
        </w:rPr>
        <w:t>Carreaux + Brique + Tôle</w:t>
      </w:r>
      <w:r w:rsidR="002320E0">
        <w:rPr>
          <w:rFonts w:ascii="Trebuchet MS" w:hAnsi="Trebuchet MS"/>
        </w:rPr>
        <w:t> »</w:t>
      </w:r>
      <w:r w:rsidR="002320E0" w:rsidRPr="0056269C">
        <w:rPr>
          <w:rFonts w:ascii="Trebuchet MS" w:hAnsi="Trebuchet MS"/>
        </w:rPr>
        <w:t xml:space="preserve"> (93,4%) et </w:t>
      </w:r>
      <w:r w:rsidR="002320E0">
        <w:rPr>
          <w:rFonts w:ascii="Trebuchet MS" w:hAnsi="Trebuchet MS"/>
        </w:rPr>
        <w:t>« </w:t>
      </w:r>
      <w:r w:rsidR="002320E0" w:rsidRPr="0056269C">
        <w:rPr>
          <w:rFonts w:ascii="Trebuchet MS" w:hAnsi="Trebuchet MS"/>
        </w:rPr>
        <w:t>Carreaux + Brique + Tuile</w:t>
      </w:r>
      <w:r w:rsidR="002320E0">
        <w:rPr>
          <w:rFonts w:ascii="Trebuchet MS" w:hAnsi="Trebuchet MS"/>
        </w:rPr>
        <w:t> »</w:t>
      </w:r>
      <w:r w:rsidR="002320E0" w:rsidRPr="0056269C">
        <w:rPr>
          <w:rFonts w:ascii="Trebuchet MS" w:hAnsi="Trebuchet MS"/>
        </w:rPr>
        <w:t xml:space="preserve"> (86,1%). Par ailleurs, l’analyse des résultats du tableau montre que les ménages dont les caractéristiques du logement sont </w:t>
      </w:r>
      <w:r w:rsidR="002320E0">
        <w:rPr>
          <w:rFonts w:ascii="Trebuchet MS" w:hAnsi="Trebuchet MS"/>
        </w:rPr>
        <w:t>« </w:t>
      </w:r>
      <w:r w:rsidR="002320E0" w:rsidRPr="0056269C">
        <w:rPr>
          <w:rFonts w:ascii="Trebuchet MS" w:hAnsi="Trebuchet MS"/>
        </w:rPr>
        <w:t>Bouse + Terre + Tôle</w:t>
      </w:r>
      <w:r w:rsidR="002320E0">
        <w:rPr>
          <w:rFonts w:ascii="Trebuchet MS" w:hAnsi="Trebuchet MS"/>
        </w:rPr>
        <w:t> »</w:t>
      </w:r>
      <w:r w:rsidR="002320E0" w:rsidRPr="0056269C">
        <w:rPr>
          <w:rFonts w:ascii="Trebuchet MS" w:hAnsi="Trebuchet MS"/>
        </w:rPr>
        <w:t xml:space="preserve"> et </w:t>
      </w:r>
      <w:r w:rsidR="002320E0">
        <w:rPr>
          <w:rFonts w:ascii="Trebuchet MS" w:hAnsi="Trebuchet MS"/>
        </w:rPr>
        <w:t>« </w:t>
      </w:r>
      <w:r w:rsidR="002320E0" w:rsidRPr="0056269C">
        <w:rPr>
          <w:rFonts w:ascii="Trebuchet MS" w:hAnsi="Trebuchet MS"/>
        </w:rPr>
        <w:t>Terre/sabl</w:t>
      </w:r>
      <w:r w:rsidR="002320E0">
        <w:rPr>
          <w:rFonts w:ascii="Trebuchet MS" w:hAnsi="Trebuchet MS"/>
        </w:rPr>
        <w:t>e</w:t>
      </w:r>
      <w:r w:rsidR="002320E0" w:rsidRPr="0056269C">
        <w:rPr>
          <w:rFonts w:ascii="Trebuchet MS" w:hAnsi="Trebuchet MS"/>
        </w:rPr>
        <w:t xml:space="preserve"> + Terre + Terre</w:t>
      </w:r>
      <w:r w:rsidR="002320E0">
        <w:rPr>
          <w:rFonts w:ascii="Trebuchet MS" w:hAnsi="Trebuchet MS"/>
        </w:rPr>
        <w:t> »</w:t>
      </w:r>
      <w:r w:rsidR="002320E0" w:rsidRPr="0056269C">
        <w:rPr>
          <w:rFonts w:ascii="Trebuchet MS" w:hAnsi="Trebuchet MS"/>
        </w:rPr>
        <w:t xml:space="preserve"> sont dans la quasi-totalité non connec</w:t>
      </w:r>
      <w:r w:rsidR="00E36AB0">
        <w:rPr>
          <w:rFonts w:ascii="Trebuchet MS" w:hAnsi="Trebuchet MS"/>
        </w:rPr>
        <w:t xml:space="preserve">tés au réseau électrique SBEE. </w:t>
      </w:r>
    </w:p>
    <w:p w:rsidR="002320E0" w:rsidRPr="00E36AB0" w:rsidRDefault="002708D5" w:rsidP="00F03E08">
      <w:pPr>
        <w:pStyle w:val="Titre4"/>
      </w:pPr>
      <w:bookmarkStart w:id="143" w:name="_Toc426359445"/>
      <w:r>
        <w:t xml:space="preserve">2.1.2. </w:t>
      </w:r>
      <w:r w:rsidR="002320E0" w:rsidRPr="00E36AB0">
        <w:t>Différentes sources d’énergie utilisée</w:t>
      </w:r>
      <w:r w:rsidR="00550008">
        <w:t>s</w:t>
      </w:r>
      <w:r w:rsidR="002320E0" w:rsidRPr="00E36AB0">
        <w:t xml:space="preserve"> par les ménages</w:t>
      </w:r>
      <w:bookmarkEnd w:id="143"/>
    </w:p>
    <w:p w:rsidR="002320E0" w:rsidRPr="0056269C" w:rsidRDefault="002320E0" w:rsidP="00990270">
      <w:pPr>
        <w:jc w:val="both"/>
        <w:rPr>
          <w:rFonts w:ascii="Trebuchet MS" w:hAnsi="Trebuchet MS"/>
        </w:rPr>
      </w:pPr>
      <w:r>
        <w:rPr>
          <w:rFonts w:ascii="Trebuchet MS" w:hAnsi="Trebuchet MS"/>
        </w:rPr>
        <w:t>L</w:t>
      </w:r>
      <w:r w:rsidRPr="0056269C">
        <w:rPr>
          <w:rFonts w:ascii="Trebuchet MS" w:hAnsi="Trebuchet MS"/>
        </w:rPr>
        <w:t>’analyse des résultats du tableau ci-</w:t>
      </w:r>
      <w:r>
        <w:rPr>
          <w:rFonts w:ascii="Trebuchet MS" w:hAnsi="Trebuchet MS"/>
        </w:rPr>
        <w:t>après</w:t>
      </w:r>
      <w:r w:rsidRPr="0056269C">
        <w:rPr>
          <w:rFonts w:ascii="Trebuchet MS" w:hAnsi="Trebuchet MS"/>
        </w:rPr>
        <w:t xml:space="preserve"> relève que dans l’ensemble, </w:t>
      </w:r>
      <w:r>
        <w:rPr>
          <w:rFonts w:ascii="Trebuchet MS" w:hAnsi="Trebuchet MS"/>
        </w:rPr>
        <w:t xml:space="preserve">les </w:t>
      </w:r>
      <w:r w:rsidRPr="0056269C">
        <w:rPr>
          <w:rFonts w:ascii="Trebuchet MS" w:hAnsi="Trebuchet MS"/>
        </w:rPr>
        <w:t>source</w:t>
      </w:r>
      <w:r>
        <w:rPr>
          <w:rFonts w:ascii="Trebuchet MS" w:hAnsi="Trebuchet MS"/>
        </w:rPr>
        <w:t>s</w:t>
      </w:r>
      <w:r w:rsidRPr="0056269C">
        <w:rPr>
          <w:rFonts w:ascii="Trebuchet MS" w:hAnsi="Trebuchet MS"/>
        </w:rPr>
        <w:t xml:space="preserve"> d’énergie</w:t>
      </w:r>
      <w:r>
        <w:rPr>
          <w:rFonts w:ascii="Trebuchet MS" w:hAnsi="Trebuchet MS"/>
        </w:rPr>
        <w:t xml:space="preserve"> les plus utilisées par les ménages sont</w:t>
      </w:r>
      <w:r w:rsidRPr="0056269C">
        <w:rPr>
          <w:rFonts w:ascii="Trebuchet MS" w:hAnsi="Trebuchet MS"/>
        </w:rPr>
        <w:t xml:space="preserve"> l</w:t>
      </w:r>
      <w:r>
        <w:rPr>
          <w:rFonts w:ascii="Trebuchet MS" w:hAnsi="Trebuchet MS"/>
        </w:rPr>
        <w:t>es</w:t>
      </w:r>
      <w:r w:rsidRPr="0056269C">
        <w:rPr>
          <w:rFonts w:ascii="Trebuchet MS" w:hAnsi="Trebuchet MS"/>
        </w:rPr>
        <w:t xml:space="preserve"> pile</w:t>
      </w:r>
      <w:r>
        <w:rPr>
          <w:rFonts w:ascii="Trebuchet MS" w:hAnsi="Trebuchet MS"/>
        </w:rPr>
        <w:t>s</w:t>
      </w:r>
      <w:r w:rsidRPr="0056269C">
        <w:rPr>
          <w:rFonts w:ascii="Trebuchet MS" w:hAnsi="Trebuchet MS"/>
        </w:rPr>
        <w:t xml:space="preserve"> à torche </w:t>
      </w:r>
      <w:r>
        <w:rPr>
          <w:rFonts w:ascii="Trebuchet MS" w:hAnsi="Trebuchet MS"/>
        </w:rPr>
        <w:t>(</w:t>
      </w:r>
      <w:r w:rsidRPr="0056269C">
        <w:rPr>
          <w:rFonts w:ascii="Trebuchet MS" w:hAnsi="Trebuchet MS"/>
        </w:rPr>
        <w:t>7</w:t>
      </w:r>
      <w:r>
        <w:rPr>
          <w:rFonts w:ascii="Trebuchet MS" w:hAnsi="Trebuchet MS"/>
        </w:rPr>
        <w:t>3</w:t>
      </w:r>
      <w:r w:rsidRPr="0056269C">
        <w:rPr>
          <w:rFonts w:ascii="Trebuchet MS" w:hAnsi="Trebuchet MS"/>
        </w:rPr>
        <w:t>,</w:t>
      </w:r>
      <w:r>
        <w:rPr>
          <w:rFonts w:ascii="Trebuchet MS" w:hAnsi="Trebuchet MS"/>
        </w:rPr>
        <w:t>7</w:t>
      </w:r>
      <w:r w:rsidRPr="0056269C">
        <w:rPr>
          <w:rFonts w:ascii="Trebuchet MS" w:hAnsi="Trebuchet MS"/>
        </w:rPr>
        <w:t>%</w:t>
      </w:r>
      <w:r>
        <w:rPr>
          <w:rFonts w:ascii="Trebuchet MS" w:hAnsi="Trebuchet MS"/>
        </w:rPr>
        <w:t xml:space="preserve"> des ménages)</w:t>
      </w:r>
      <w:r w:rsidRPr="0056269C">
        <w:rPr>
          <w:rFonts w:ascii="Trebuchet MS" w:hAnsi="Trebuchet MS"/>
        </w:rPr>
        <w:t xml:space="preserve">, le pétrole </w:t>
      </w:r>
      <w:r>
        <w:rPr>
          <w:rFonts w:ascii="Trebuchet MS" w:hAnsi="Trebuchet MS"/>
        </w:rPr>
        <w:t>(</w:t>
      </w:r>
      <w:r w:rsidRPr="0056269C">
        <w:rPr>
          <w:rFonts w:ascii="Trebuchet MS" w:hAnsi="Trebuchet MS"/>
        </w:rPr>
        <w:t>4</w:t>
      </w:r>
      <w:r>
        <w:rPr>
          <w:rFonts w:ascii="Trebuchet MS" w:hAnsi="Trebuchet MS"/>
        </w:rPr>
        <w:t>1</w:t>
      </w:r>
      <w:r w:rsidRPr="0056269C">
        <w:rPr>
          <w:rFonts w:ascii="Trebuchet MS" w:hAnsi="Trebuchet MS"/>
        </w:rPr>
        <w:t>,7%</w:t>
      </w:r>
      <w:r>
        <w:rPr>
          <w:rFonts w:ascii="Trebuchet MS" w:hAnsi="Trebuchet MS"/>
        </w:rPr>
        <w:t xml:space="preserve">des ménages), </w:t>
      </w:r>
      <w:r w:rsidRPr="0056269C">
        <w:rPr>
          <w:rFonts w:ascii="Trebuchet MS" w:hAnsi="Trebuchet MS"/>
        </w:rPr>
        <w:t xml:space="preserve">le bois de chauffe </w:t>
      </w:r>
      <w:r>
        <w:rPr>
          <w:rFonts w:ascii="Trebuchet MS" w:hAnsi="Trebuchet MS"/>
        </w:rPr>
        <w:t>(</w:t>
      </w:r>
      <w:r w:rsidRPr="0056269C">
        <w:rPr>
          <w:rFonts w:ascii="Trebuchet MS" w:hAnsi="Trebuchet MS"/>
        </w:rPr>
        <w:t>36,4%</w:t>
      </w:r>
      <w:r>
        <w:rPr>
          <w:rFonts w:ascii="Trebuchet MS" w:hAnsi="Trebuchet MS"/>
        </w:rPr>
        <w:t>des ménages) et le charbon de bois (33,8% des ménages)</w:t>
      </w:r>
      <w:r w:rsidRPr="0056269C">
        <w:rPr>
          <w:rFonts w:ascii="Trebuchet MS" w:hAnsi="Trebuchet MS"/>
        </w:rPr>
        <w:t>.</w:t>
      </w:r>
      <w:r>
        <w:rPr>
          <w:rFonts w:ascii="Trebuchet MS" w:hAnsi="Trebuchet MS"/>
        </w:rPr>
        <w:t xml:space="preserve"> La ligne directe de la SBEE (23,0%), la ligne sous-traitée (12,2%) et le groupe électrogène (11,2%) sont utilisées dans une moindre proportion par les ménages.</w:t>
      </w:r>
    </w:p>
    <w:p w:rsidR="002320E0" w:rsidRPr="003A216A" w:rsidRDefault="002320E0" w:rsidP="00990270">
      <w:pPr>
        <w:jc w:val="both"/>
        <w:rPr>
          <w:rFonts w:ascii="Trebuchet MS" w:hAnsi="Trebuchet MS"/>
        </w:rPr>
      </w:pPr>
      <w:r w:rsidRPr="0056269C">
        <w:rPr>
          <w:rFonts w:ascii="Trebuchet MS" w:hAnsi="Trebuchet MS"/>
        </w:rPr>
        <w:t>Il ressort de cette</w:t>
      </w:r>
      <w:r>
        <w:rPr>
          <w:rFonts w:ascii="Trebuchet MS" w:hAnsi="Trebuchet MS"/>
        </w:rPr>
        <w:t xml:space="preserve"> analyse</w:t>
      </w:r>
      <w:r w:rsidRPr="0056269C">
        <w:rPr>
          <w:rFonts w:ascii="Trebuchet MS" w:hAnsi="Trebuchet MS"/>
        </w:rPr>
        <w:t xml:space="preserve"> que </w:t>
      </w:r>
      <w:r>
        <w:rPr>
          <w:rFonts w:ascii="Trebuchet MS" w:hAnsi="Trebuchet MS"/>
        </w:rPr>
        <w:t>selon le sexe du chef de ménage, les ménages dirigés par les hommes utilisent beaucoup plus les</w:t>
      </w:r>
      <w:r w:rsidRPr="0056269C">
        <w:rPr>
          <w:rFonts w:ascii="Trebuchet MS" w:hAnsi="Trebuchet MS"/>
        </w:rPr>
        <w:t xml:space="preserve"> pile</w:t>
      </w:r>
      <w:r>
        <w:rPr>
          <w:rFonts w:ascii="Trebuchet MS" w:hAnsi="Trebuchet MS"/>
        </w:rPr>
        <w:t>s</w:t>
      </w:r>
      <w:r w:rsidRPr="0056269C">
        <w:rPr>
          <w:rFonts w:ascii="Trebuchet MS" w:hAnsi="Trebuchet MS"/>
        </w:rPr>
        <w:t xml:space="preserve"> à torche (76,5%</w:t>
      </w:r>
      <w:r>
        <w:rPr>
          <w:rFonts w:ascii="Trebuchet MS" w:hAnsi="Trebuchet MS"/>
        </w:rPr>
        <w:t xml:space="preserve">), le </w:t>
      </w:r>
      <w:r w:rsidRPr="003A216A">
        <w:rPr>
          <w:rFonts w:ascii="Trebuchet MS" w:hAnsi="Trebuchet MS"/>
        </w:rPr>
        <w:t xml:space="preserve">Pétrole </w:t>
      </w:r>
      <w:r>
        <w:rPr>
          <w:rFonts w:ascii="Trebuchet MS" w:hAnsi="Trebuchet MS"/>
        </w:rPr>
        <w:t xml:space="preserve">(38,9%), les </w:t>
      </w:r>
      <w:r w:rsidRPr="003A216A">
        <w:rPr>
          <w:rFonts w:ascii="Trebuchet MS" w:hAnsi="Trebuchet MS"/>
        </w:rPr>
        <w:t>Bois de chauffe</w:t>
      </w:r>
      <w:r>
        <w:rPr>
          <w:rFonts w:ascii="Trebuchet MS" w:hAnsi="Trebuchet MS"/>
        </w:rPr>
        <w:t xml:space="preserve"> (36,0%), le </w:t>
      </w:r>
      <w:r w:rsidRPr="003A216A">
        <w:rPr>
          <w:rFonts w:ascii="Trebuchet MS" w:hAnsi="Trebuchet MS"/>
        </w:rPr>
        <w:t>Charbon de bois</w:t>
      </w:r>
      <w:r>
        <w:rPr>
          <w:rFonts w:ascii="Trebuchet MS" w:hAnsi="Trebuchet MS"/>
        </w:rPr>
        <w:t xml:space="preserve"> (33,0%), la l</w:t>
      </w:r>
      <w:r w:rsidRPr="003A216A">
        <w:rPr>
          <w:rFonts w:ascii="Trebuchet MS" w:hAnsi="Trebuchet MS"/>
        </w:rPr>
        <w:t>igne direct  SBEE</w:t>
      </w:r>
      <w:r>
        <w:rPr>
          <w:rFonts w:ascii="Trebuchet MS" w:hAnsi="Trebuchet MS"/>
        </w:rPr>
        <w:t xml:space="preserve"> (22,5%). La même situation se présente au niveau des ménages dirigés par les femmes. </w:t>
      </w:r>
    </w:p>
    <w:p w:rsidR="002320E0" w:rsidRPr="00B27FCE" w:rsidRDefault="002320E0" w:rsidP="00990270">
      <w:pPr>
        <w:jc w:val="both"/>
        <w:rPr>
          <w:rFonts w:ascii="Trebuchet MS" w:hAnsi="Trebuchet MS"/>
        </w:rPr>
      </w:pPr>
      <w:r>
        <w:rPr>
          <w:rFonts w:ascii="Trebuchet MS" w:hAnsi="Trebuchet MS"/>
        </w:rPr>
        <w:t xml:space="preserve">Selon </w:t>
      </w:r>
      <w:r w:rsidRPr="0056269C">
        <w:rPr>
          <w:rFonts w:ascii="Trebuchet MS" w:hAnsi="Trebuchet MS"/>
        </w:rPr>
        <w:t xml:space="preserve">le niveau d’instruction, </w:t>
      </w:r>
      <w:r>
        <w:rPr>
          <w:rFonts w:ascii="Trebuchet MS" w:hAnsi="Trebuchet MS"/>
        </w:rPr>
        <w:t>plus de la moitié des ménages dont le chef a le niveau d’instruction supérieur et ceux dont le chef a le niveau secondaire 2 utilise</w:t>
      </w:r>
      <w:r w:rsidRPr="0056269C">
        <w:rPr>
          <w:rFonts w:ascii="Trebuchet MS" w:hAnsi="Trebuchet MS"/>
        </w:rPr>
        <w:t xml:space="preserve">nt </w:t>
      </w:r>
      <w:r>
        <w:rPr>
          <w:rFonts w:ascii="Trebuchet MS" w:hAnsi="Trebuchet MS"/>
        </w:rPr>
        <w:t xml:space="preserve">en majorité </w:t>
      </w:r>
      <w:r w:rsidRPr="0056269C">
        <w:rPr>
          <w:rFonts w:ascii="Trebuchet MS" w:hAnsi="Trebuchet MS"/>
        </w:rPr>
        <w:t>la ligne directe SBEE</w:t>
      </w:r>
      <w:r>
        <w:rPr>
          <w:rFonts w:ascii="Trebuchet MS" w:hAnsi="Trebuchet MS"/>
        </w:rPr>
        <w:t xml:space="preserve"> (</w:t>
      </w:r>
      <w:r w:rsidRPr="00EC60FB">
        <w:rPr>
          <w:rFonts w:ascii="Trebuchet MS" w:hAnsi="Trebuchet MS"/>
        </w:rPr>
        <w:t>69,3% pour le supérieur et 50,2% pour le secondaire 2</w:t>
      </w:r>
      <w:r>
        <w:rPr>
          <w:rFonts w:ascii="Trebuchet MS" w:hAnsi="Trebuchet MS"/>
        </w:rPr>
        <w:t xml:space="preserve">). Aussi, ces ménages font-ils usage de la </w:t>
      </w:r>
      <w:r w:rsidRPr="00B27FCE">
        <w:rPr>
          <w:rFonts w:ascii="Trebuchet MS" w:hAnsi="Trebuchet MS"/>
        </w:rPr>
        <w:t>Pile à torche (</w:t>
      </w:r>
      <w:r w:rsidRPr="00EC60FB">
        <w:rPr>
          <w:rFonts w:ascii="Trebuchet MS" w:hAnsi="Trebuchet MS"/>
        </w:rPr>
        <w:t>64,0% pour le supérieur et 68,0% pour le secondaire 2</w:t>
      </w:r>
      <w:r w:rsidRPr="00B27FCE">
        <w:rPr>
          <w:rFonts w:ascii="Trebuchet MS" w:hAnsi="Trebuchet MS"/>
        </w:rPr>
        <w:t>), le Charbon de bois (</w:t>
      </w:r>
      <w:r w:rsidRPr="00EC60FB">
        <w:rPr>
          <w:rFonts w:ascii="Trebuchet MS" w:hAnsi="Trebuchet MS"/>
        </w:rPr>
        <w:t>43,9% pour le supérieur et 48,0% pour le secondaire 2</w:t>
      </w:r>
      <w:r w:rsidRPr="00B27FCE">
        <w:rPr>
          <w:rFonts w:ascii="Trebuchet MS" w:hAnsi="Trebuchet MS"/>
        </w:rPr>
        <w:t>) et le Pétrole (</w:t>
      </w:r>
      <w:r w:rsidRPr="00EC60FB">
        <w:rPr>
          <w:rFonts w:ascii="Trebuchet MS" w:hAnsi="Trebuchet MS"/>
        </w:rPr>
        <w:t>28,1% pour le supérieur et 38,7%  pour le secondaire 2</w:t>
      </w:r>
      <w:r w:rsidRPr="00B27FCE">
        <w:rPr>
          <w:rFonts w:ascii="Trebuchet MS" w:hAnsi="Trebuchet MS"/>
        </w:rPr>
        <w:t>)</w:t>
      </w:r>
      <w:r>
        <w:rPr>
          <w:rFonts w:ascii="Trebuchet MS" w:hAnsi="Trebuchet MS"/>
        </w:rPr>
        <w:t xml:space="preserve"> dans une proportion importante</w:t>
      </w:r>
      <w:r w:rsidRPr="00B27FCE">
        <w:rPr>
          <w:rFonts w:ascii="Trebuchet MS" w:hAnsi="Trebuchet MS"/>
        </w:rPr>
        <w:t>.</w:t>
      </w:r>
      <w:r>
        <w:rPr>
          <w:rFonts w:ascii="Trebuchet MS" w:hAnsi="Trebuchet MS"/>
        </w:rPr>
        <w:t xml:space="preserve"> Pour les ménages dont le chef a un niveau d’instruction autre que le supérieur et le secondaire 2, c’est la pile à torche, le charbon de bois, le pétrole et le bois de chauffe qui prédominent comme sources d’énergie utilisées.</w:t>
      </w:r>
    </w:p>
    <w:p w:rsidR="002320E0" w:rsidRPr="00C35E73" w:rsidRDefault="002320E0" w:rsidP="00990270">
      <w:pPr>
        <w:jc w:val="both"/>
        <w:rPr>
          <w:rFonts w:ascii="Trebuchet MS" w:hAnsi="Trebuchet MS"/>
        </w:rPr>
      </w:pPr>
      <w:r>
        <w:rPr>
          <w:rFonts w:ascii="Trebuchet MS" w:hAnsi="Trebuchet MS"/>
        </w:rPr>
        <w:t xml:space="preserve">Par rapport aux départements, le pourcentage de ménages utilisant la ligne directe de la SBEE est plus important dans </w:t>
      </w:r>
      <w:r w:rsidRPr="0056269C">
        <w:rPr>
          <w:rFonts w:ascii="Trebuchet MS" w:hAnsi="Trebuchet MS"/>
        </w:rPr>
        <w:t>le</w:t>
      </w:r>
      <w:r>
        <w:rPr>
          <w:rFonts w:ascii="Trebuchet MS" w:hAnsi="Trebuchet MS"/>
        </w:rPr>
        <w:t>s</w:t>
      </w:r>
      <w:r w:rsidRPr="0056269C">
        <w:rPr>
          <w:rFonts w:ascii="Trebuchet MS" w:hAnsi="Trebuchet MS"/>
        </w:rPr>
        <w:t xml:space="preserve"> département</w:t>
      </w:r>
      <w:r>
        <w:rPr>
          <w:rFonts w:ascii="Trebuchet MS" w:hAnsi="Trebuchet MS"/>
        </w:rPr>
        <w:t>s</w:t>
      </w:r>
      <w:r w:rsidRPr="0056269C">
        <w:rPr>
          <w:rFonts w:ascii="Trebuchet MS" w:hAnsi="Trebuchet MS"/>
        </w:rPr>
        <w:t xml:space="preserve"> du Littoral(69,8%) </w:t>
      </w:r>
      <w:r>
        <w:rPr>
          <w:rFonts w:ascii="Trebuchet MS" w:hAnsi="Trebuchet MS"/>
        </w:rPr>
        <w:t>de l’</w:t>
      </w:r>
      <w:r w:rsidRPr="0056269C">
        <w:rPr>
          <w:rFonts w:ascii="Trebuchet MS" w:hAnsi="Trebuchet MS"/>
        </w:rPr>
        <w:t xml:space="preserve">Ouémé (41,4%) </w:t>
      </w:r>
      <w:r>
        <w:rPr>
          <w:rFonts w:ascii="Trebuchet MS" w:hAnsi="Trebuchet MS"/>
        </w:rPr>
        <w:t>et de</w:t>
      </w:r>
      <w:r w:rsidRPr="0056269C">
        <w:rPr>
          <w:rFonts w:ascii="Trebuchet MS" w:hAnsi="Trebuchet MS"/>
        </w:rPr>
        <w:t xml:space="preserve"> l’Atlantique (26,9%).</w:t>
      </w:r>
      <w:r>
        <w:rPr>
          <w:rFonts w:ascii="Trebuchet MS" w:hAnsi="Trebuchet MS"/>
        </w:rPr>
        <w:t xml:space="preserve"> En ce qui concerne l’utilisation de toile d’araignée, le pourcentage de ménages faisant son usage est relativement plus important dans les départements de </w:t>
      </w:r>
      <w:r w:rsidRPr="00C35E73">
        <w:rPr>
          <w:rFonts w:ascii="Trebuchet MS" w:hAnsi="Trebuchet MS"/>
        </w:rPr>
        <w:t>l’Atlantique (28,8%), du Littoral (20,2%) et du Plateau (19,4%).</w:t>
      </w:r>
    </w:p>
    <w:p w:rsidR="002320E0" w:rsidRPr="0056269C" w:rsidRDefault="002320E0" w:rsidP="002320E0">
      <w:pPr>
        <w:jc w:val="both"/>
        <w:rPr>
          <w:rFonts w:ascii="Trebuchet MS" w:hAnsi="Trebuchet MS"/>
        </w:rPr>
      </w:pPr>
    </w:p>
    <w:p w:rsidR="002320E0" w:rsidRDefault="002320E0" w:rsidP="002320E0">
      <w:pPr>
        <w:spacing w:after="0"/>
        <w:jc w:val="both"/>
        <w:rPr>
          <w:rFonts w:ascii="Trebuchet MS" w:hAnsi="Trebuchet MS"/>
        </w:rPr>
      </w:pPr>
    </w:p>
    <w:p w:rsidR="002320E0" w:rsidRPr="0056269C" w:rsidRDefault="002320E0" w:rsidP="002320E0">
      <w:pPr>
        <w:spacing w:after="0"/>
        <w:jc w:val="both"/>
        <w:rPr>
          <w:rFonts w:ascii="Trebuchet MS" w:hAnsi="Trebuchet MS"/>
        </w:rPr>
        <w:sectPr w:rsidR="002320E0" w:rsidRPr="0056269C" w:rsidSect="00FF1C88">
          <w:pgSz w:w="11906" w:h="16838"/>
          <w:pgMar w:top="1843" w:right="1417" w:bottom="851" w:left="1417" w:header="708" w:footer="0" w:gutter="0"/>
          <w:cols w:space="708"/>
          <w:docGrid w:linePitch="360"/>
        </w:sectPr>
      </w:pPr>
    </w:p>
    <w:p w:rsidR="002320E0" w:rsidRPr="00990270" w:rsidRDefault="00990270" w:rsidP="00990270">
      <w:pPr>
        <w:keepNext/>
        <w:spacing w:after="0"/>
        <w:jc w:val="both"/>
        <w:rPr>
          <w:rFonts w:ascii="Trebuchet MS" w:hAnsi="Trebuchet MS"/>
          <w:b/>
          <w:sz w:val="20"/>
        </w:rPr>
      </w:pPr>
      <w:bookmarkStart w:id="144" w:name="_Toc426359336"/>
      <w:r w:rsidRPr="00990270">
        <w:rPr>
          <w:rFonts w:ascii="Trebuchet MS" w:hAnsi="Trebuchet MS"/>
          <w:b/>
          <w:sz w:val="20"/>
        </w:rPr>
        <w:t xml:space="preserve">Tableau </w:t>
      </w:r>
      <w:r w:rsidR="00792500" w:rsidRPr="00990270">
        <w:rPr>
          <w:rFonts w:ascii="Trebuchet MS" w:hAnsi="Trebuchet MS"/>
          <w:b/>
          <w:sz w:val="20"/>
        </w:rPr>
        <w:fldChar w:fldCharType="begin"/>
      </w:r>
      <w:r w:rsidRPr="00990270">
        <w:rPr>
          <w:rFonts w:ascii="Trebuchet MS" w:hAnsi="Trebuchet MS"/>
          <w:b/>
          <w:sz w:val="20"/>
        </w:rPr>
        <w:instrText xml:space="preserve"> SEQ Tableau \* ARABIC </w:instrText>
      </w:r>
      <w:r w:rsidR="00792500" w:rsidRPr="00990270">
        <w:rPr>
          <w:rFonts w:ascii="Trebuchet MS" w:hAnsi="Trebuchet MS"/>
          <w:b/>
          <w:sz w:val="20"/>
        </w:rPr>
        <w:fldChar w:fldCharType="separate"/>
      </w:r>
      <w:r w:rsidR="00556962">
        <w:rPr>
          <w:rFonts w:ascii="Trebuchet MS" w:hAnsi="Trebuchet MS"/>
          <w:b/>
          <w:noProof/>
          <w:sz w:val="20"/>
        </w:rPr>
        <w:t>17</w:t>
      </w:r>
      <w:r w:rsidR="00792500" w:rsidRPr="00990270">
        <w:rPr>
          <w:rFonts w:ascii="Trebuchet MS" w:hAnsi="Trebuchet MS"/>
          <w:b/>
          <w:sz w:val="20"/>
        </w:rPr>
        <w:fldChar w:fldCharType="end"/>
      </w:r>
      <w:r w:rsidRPr="00990270">
        <w:rPr>
          <w:rFonts w:ascii="Trebuchet MS" w:hAnsi="Trebuchet MS"/>
          <w:b/>
          <w:sz w:val="20"/>
        </w:rPr>
        <w:t xml:space="preserve"> : Pourcentage de ménages suivant les différentes sources d’énergie utilisées par sexe et niveau d’instruction du chef de ménage</w:t>
      </w:r>
      <w:bookmarkEnd w:id="144"/>
    </w:p>
    <w:tbl>
      <w:tblPr>
        <w:tblW w:w="5284"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621"/>
        <w:gridCol w:w="710"/>
        <w:gridCol w:w="1157"/>
        <w:gridCol w:w="1194"/>
        <w:gridCol w:w="906"/>
        <w:gridCol w:w="863"/>
        <w:gridCol w:w="848"/>
        <w:gridCol w:w="706"/>
        <w:gridCol w:w="851"/>
        <w:gridCol w:w="845"/>
        <w:gridCol w:w="848"/>
        <w:gridCol w:w="709"/>
        <w:gridCol w:w="993"/>
        <w:gridCol w:w="863"/>
        <w:gridCol w:w="981"/>
      </w:tblGrid>
      <w:tr w:rsidR="002320E0" w:rsidRPr="00990270" w:rsidTr="00990270">
        <w:trPr>
          <w:trHeight w:val="304"/>
          <w:tblHeader/>
        </w:trPr>
        <w:tc>
          <w:tcPr>
            <w:tcW w:w="868" w:type="pct"/>
            <w:tcBorders>
              <w:top w:val="double" w:sz="4" w:space="0" w:color="auto"/>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p>
        </w:tc>
        <w:tc>
          <w:tcPr>
            <w:tcW w:w="3807" w:type="pct"/>
            <w:gridSpan w:val="13"/>
            <w:tcBorders>
              <w:top w:val="doub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Pourcentage de ménage suivant les sources d’énergie utilisées</w:t>
            </w:r>
          </w:p>
        </w:tc>
        <w:tc>
          <w:tcPr>
            <w:tcW w:w="325" w:type="pct"/>
            <w:vMerge w:val="restart"/>
            <w:tcBorders>
              <w:top w:val="double" w:sz="4" w:space="0" w:color="auto"/>
            </w:tcBorders>
            <w:shd w:val="clear" w:color="auto" w:fill="auto"/>
            <w:noWrap/>
            <w:hideMark/>
          </w:tcPr>
          <w:p w:rsidR="002320E0" w:rsidRPr="00990270" w:rsidRDefault="002320E0" w:rsidP="00990270">
            <w:pPr>
              <w:keepNext/>
              <w:jc w:val="center"/>
              <w:rPr>
                <w:rFonts w:ascii="Trebuchet MS" w:eastAsia="Times New Roman" w:hAnsi="Trebuchet MS"/>
                <w:color w:val="000000"/>
                <w:lang w:eastAsia="fr-FR"/>
              </w:rPr>
            </w:pPr>
            <w:r w:rsidRPr="00990270">
              <w:rPr>
                <w:rFonts w:ascii="Trebuchet MS" w:eastAsia="Times New Roman" w:hAnsi="Trebuchet MS"/>
                <w:color w:val="000000"/>
                <w:sz w:val="20"/>
                <w:szCs w:val="20"/>
                <w:lang w:eastAsia="fr-FR"/>
              </w:rPr>
              <w:t>Effectif des ménages</w:t>
            </w:r>
          </w:p>
        </w:tc>
      </w:tr>
      <w:tr w:rsidR="002320E0" w:rsidRPr="00990270" w:rsidTr="00990270">
        <w:trPr>
          <w:trHeight w:val="1272"/>
          <w:tblHeader/>
        </w:trPr>
        <w:tc>
          <w:tcPr>
            <w:tcW w:w="868" w:type="pct"/>
            <w:tcBorders>
              <w:bottom w:val="single" w:sz="4" w:space="0" w:color="auto"/>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235"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Ligne direct   SBEE</w:t>
            </w:r>
          </w:p>
        </w:tc>
        <w:tc>
          <w:tcPr>
            <w:tcW w:w="383"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Ligne sous-taitée SBEE (toile d'araignée)</w:t>
            </w:r>
          </w:p>
        </w:tc>
        <w:tc>
          <w:tcPr>
            <w:tcW w:w="395"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Groupe électrogène</w:t>
            </w:r>
          </w:p>
        </w:tc>
        <w:tc>
          <w:tcPr>
            <w:tcW w:w="300"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Pétrole</w:t>
            </w:r>
          </w:p>
        </w:tc>
        <w:tc>
          <w:tcPr>
            <w:tcW w:w="286"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Energie solaire</w:t>
            </w:r>
          </w:p>
        </w:tc>
        <w:tc>
          <w:tcPr>
            <w:tcW w:w="281"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Charbon de bois</w:t>
            </w:r>
          </w:p>
        </w:tc>
        <w:tc>
          <w:tcPr>
            <w:tcW w:w="234"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Pile à torche</w:t>
            </w:r>
          </w:p>
        </w:tc>
        <w:tc>
          <w:tcPr>
            <w:tcW w:w="282"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Batterie</w:t>
            </w:r>
          </w:p>
        </w:tc>
        <w:tc>
          <w:tcPr>
            <w:tcW w:w="280"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Gaz de pétrole liquefié (GPL ou LPG)</w:t>
            </w:r>
          </w:p>
        </w:tc>
        <w:tc>
          <w:tcPr>
            <w:tcW w:w="281"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Gaz de propane</w:t>
            </w:r>
          </w:p>
        </w:tc>
        <w:tc>
          <w:tcPr>
            <w:tcW w:w="235"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Bougie</w:t>
            </w:r>
          </w:p>
        </w:tc>
        <w:tc>
          <w:tcPr>
            <w:tcW w:w="329"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Biomasse</w:t>
            </w:r>
          </w:p>
        </w:tc>
        <w:tc>
          <w:tcPr>
            <w:tcW w:w="286" w:type="pct"/>
            <w:tcBorders>
              <w:top w:val="single" w:sz="4" w:space="0" w:color="auto"/>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Bois de chauffe</w:t>
            </w:r>
          </w:p>
        </w:tc>
        <w:tc>
          <w:tcPr>
            <w:tcW w:w="325" w:type="pct"/>
            <w:vMerge/>
            <w:tcBorders>
              <w:bottom w:val="single" w:sz="4" w:space="0" w:color="auto"/>
            </w:tcBorders>
            <w:shd w:val="clear" w:color="auto" w:fill="auto"/>
            <w:hideMark/>
          </w:tcPr>
          <w:p w:rsidR="002320E0" w:rsidRPr="00990270" w:rsidRDefault="002320E0" w:rsidP="00990270">
            <w:pPr>
              <w:keepNext/>
              <w:spacing w:after="0" w:line="240" w:lineRule="auto"/>
              <w:jc w:val="center"/>
              <w:rPr>
                <w:rFonts w:ascii="Trebuchet MS" w:eastAsia="Times New Roman" w:hAnsi="Trebuchet MS"/>
                <w:color w:val="000000"/>
                <w:sz w:val="20"/>
                <w:szCs w:val="20"/>
                <w:lang w:eastAsia="fr-FR"/>
              </w:rPr>
            </w:pPr>
          </w:p>
        </w:tc>
      </w:tr>
      <w:tr w:rsidR="002320E0" w:rsidRPr="00990270" w:rsidTr="00990270">
        <w:trPr>
          <w:trHeight w:val="304"/>
        </w:trPr>
        <w:tc>
          <w:tcPr>
            <w:tcW w:w="868" w:type="pct"/>
            <w:tcBorders>
              <w:top w:val="single" w:sz="4" w:space="0" w:color="auto"/>
              <w:bottom w:val="nil"/>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Sexe du CM</w:t>
            </w:r>
          </w:p>
        </w:tc>
        <w:tc>
          <w:tcPr>
            <w:tcW w:w="23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83"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9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00"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4"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2"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0"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9"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tcBorders>
              <w:top w:val="nil"/>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Masculin</w:t>
            </w:r>
          </w:p>
        </w:tc>
        <w:tc>
          <w:tcPr>
            <w:tcW w:w="23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22,5</w:t>
            </w:r>
          </w:p>
        </w:tc>
        <w:tc>
          <w:tcPr>
            <w:tcW w:w="383"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12,1</w:t>
            </w:r>
          </w:p>
        </w:tc>
        <w:tc>
          <w:tcPr>
            <w:tcW w:w="39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38,9</w:t>
            </w:r>
          </w:p>
        </w:tc>
        <w:tc>
          <w:tcPr>
            <w:tcW w:w="286"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33,0</w:t>
            </w:r>
          </w:p>
        </w:tc>
        <w:tc>
          <w:tcPr>
            <w:tcW w:w="234"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76,5</w:t>
            </w:r>
          </w:p>
        </w:tc>
        <w:tc>
          <w:tcPr>
            <w:tcW w:w="282"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w:t>
            </w:r>
          </w:p>
        </w:tc>
        <w:tc>
          <w:tcPr>
            <w:tcW w:w="280"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3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17,4</w:t>
            </w:r>
          </w:p>
        </w:tc>
        <w:tc>
          <w:tcPr>
            <w:tcW w:w="329"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0,1</w:t>
            </w:r>
          </w:p>
        </w:tc>
        <w:tc>
          <w:tcPr>
            <w:tcW w:w="286"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36,0</w:t>
            </w:r>
          </w:p>
        </w:tc>
        <w:tc>
          <w:tcPr>
            <w:tcW w:w="32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3064</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Féminin</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25,1</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12,8</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53,3</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37,4</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62,6</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16,6</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38,0</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752</w:t>
            </w:r>
          </w:p>
        </w:tc>
      </w:tr>
      <w:tr w:rsidR="002320E0" w:rsidRPr="00990270" w:rsidTr="00990270">
        <w:trPr>
          <w:trHeight w:val="304"/>
        </w:trPr>
        <w:tc>
          <w:tcPr>
            <w:tcW w:w="868" w:type="pct"/>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Niveau d'instruction du CM</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Maternelle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29,1</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79,4</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12,7</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43,9</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189</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Primaire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25,1</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15,3</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13,7</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43,3</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72,1</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40,5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Secondaire1</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34,0</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16,1</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11,7</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46,3</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43,5</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71,6</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32,6</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50,2</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11,9</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48,0</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27,5</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27,1</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Supérieur</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69,3</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14,5</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12,3</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43,9</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64,0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29,4</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Aucun</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9,3</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10,3</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21,9</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78,9</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1588</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Autre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22,2</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33,3</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62,2</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51,1</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NSP</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17,7</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53,2</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36,7</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24,1</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39,2</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79</w:t>
            </w:r>
          </w:p>
        </w:tc>
      </w:tr>
      <w:tr w:rsidR="002320E0" w:rsidRPr="00990270" w:rsidTr="00990270">
        <w:trPr>
          <w:trHeight w:val="304"/>
        </w:trPr>
        <w:tc>
          <w:tcPr>
            <w:tcW w:w="868" w:type="pct"/>
            <w:tcBorders>
              <w:top w:val="single" w:sz="4" w:space="0" w:color="auto"/>
              <w:bottom w:val="single" w:sz="4" w:space="0" w:color="auto"/>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Ensemble</w:t>
            </w:r>
          </w:p>
        </w:tc>
        <w:tc>
          <w:tcPr>
            <w:tcW w:w="23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23,0</w:t>
            </w:r>
          </w:p>
        </w:tc>
        <w:tc>
          <w:tcPr>
            <w:tcW w:w="383"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12,2</w:t>
            </w:r>
          </w:p>
        </w:tc>
        <w:tc>
          <w:tcPr>
            <w:tcW w:w="39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00"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41,7</w:t>
            </w:r>
          </w:p>
        </w:tc>
        <w:tc>
          <w:tcPr>
            <w:tcW w:w="286"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33,8</w:t>
            </w:r>
          </w:p>
        </w:tc>
        <w:tc>
          <w:tcPr>
            <w:tcW w:w="234"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73,7</w:t>
            </w:r>
          </w:p>
        </w:tc>
        <w:tc>
          <w:tcPr>
            <w:tcW w:w="282"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0"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w:t>
            </w:r>
          </w:p>
        </w:tc>
        <w:tc>
          <w:tcPr>
            <w:tcW w:w="281"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3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17,2</w:t>
            </w:r>
          </w:p>
        </w:tc>
        <w:tc>
          <w:tcPr>
            <w:tcW w:w="329"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868" w:type="pct"/>
            <w:tcBorders>
              <w:top w:val="single" w:sz="4" w:space="0" w:color="auto"/>
              <w:bottom w:val="double" w:sz="4" w:space="0" w:color="auto"/>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Effectif  des ménages</w:t>
            </w:r>
          </w:p>
        </w:tc>
        <w:tc>
          <w:tcPr>
            <w:tcW w:w="23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877</w:t>
            </w:r>
          </w:p>
        </w:tc>
        <w:tc>
          <w:tcPr>
            <w:tcW w:w="383"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39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427</w:t>
            </w:r>
          </w:p>
        </w:tc>
        <w:tc>
          <w:tcPr>
            <w:tcW w:w="300"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1592</w:t>
            </w:r>
          </w:p>
        </w:tc>
        <w:tc>
          <w:tcPr>
            <w:tcW w:w="286"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80</w:t>
            </w:r>
          </w:p>
        </w:tc>
        <w:tc>
          <w:tcPr>
            <w:tcW w:w="281"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1291</w:t>
            </w:r>
          </w:p>
        </w:tc>
        <w:tc>
          <w:tcPr>
            <w:tcW w:w="234"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2814</w:t>
            </w:r>
          </w:p>
        </w:tc>
        <w:tc>
          <w:tcPr>
            <w:tcW w:w="282"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280"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w:t>
            </w:r>
          </w:p>
        </w:tc>
        <w:tc>
          <w:tcPr>
            <w:tcW w:w="281"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w:t>
            </w:r>
          </w:p>
        </w:tc>
        <w:tc>
          <w:tcPr>
            <w:tcW w:w="23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657</w:t>
            </w:r>
          </w:p>
        </w:tc>
        <w:tc>
          <w:tcPr>
            <w:tcW w:w="329"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w:t>
            </w:r>
          </w:p>
        </w:tc>
        <w:tc>
          <w:tcPr>
            <w:tcW w:w="286"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1390</w:t>
            </w:r>
          </w:p>
        </w:tc>
        <w:tc>
          <w:tcPr>
            <w:tcW w:w="32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5000" w:type="pct"/>
            <w:gridSpan w:val="15"/>
            <w:tcBorders>
              <w:top w:val="double" w:sz="4" w:space="0" w:color="auto"/>
              <w:bottom w:val="nil"/>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b/>
                <w:color w:val="000000"/>
                <w:lang w:eastAsia="fr-FR"/>
              </w:rPr>
            </w:pPr>
            <w:r w:rsidRPr="00990270">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Pr>
        <w:sectPr w:rsidR="002320E0" w:rsidSect="00605DE4">
          <w:pgSz w:w="16838" w:h="11906" w:orient="landscape"/>
          <w:pgMar w:top="1418" w:right="1843" w:bottom="1418" w:left="851" w:header="709" w:footer="0" w:gutter="0"/>
          <w:cols w:space="708"/>
          <w:docGrid w:linePitch="360"/>
        </w:sectPr>
      </w:pPr>
    </w:p>
    <w:p w:rsidR="002320E0" w:rsidRPr="00990270" w:rsidRDefault="00990270" w:rsidP="005D64EE">
      <w:pPr>
        <w:keepNext/>
        <w:spacing w:after="0"/>
        <w:rPr>
          <w:b/>
        </w:rPr>
      </w:pPr>
      <w:bookmarkStart w:id="145" w:name="_Toc426359337"/>
      <w:r w:rsidRPr="00990270">
        <w:rPr>
          <w:rFonts w:ascii="Trebuchet MS" w:hAnsi="Trebuchet MS"/>
          <w:b/>
          <w:sz w:val="20"/>
        </w:rPr>
        <w:t xml:space="preserve">Tableau </w:t>
      </w:r>
      <w:r w:rsidR="00792500" w:rsidRPr="00990270">
        <w:rPr>
          <w:rFonts w:ascii="Trebuchet MS" w:hAnsi="Trebuchet MS"/>
          <w:b/>
          <w:sz w:val="20"/>
        </w:rPr>
        <w:fldChar w:fldCharType="begin"/>
      </w:r>
      <w:r w:rsidRPr="00990270">
        <w:rPr>
          <w:rFonts w:ascii="Trebuchet MS" w:hAnsi="Trebuchet MS"/>
          <w:b/>
          <w:sz w:val="20"/>
        </w:rPr>
        <w:instrText xml:space="preserve"> SEQ Tableau \* ARABIC </w:instrText>
      </w:r>
      <w:r w:rsidR="00792500" w:rsidRPr="00990270">
        <w:rPr>
          <w:rFonts w:ascii="Trebuchet MS" w:hAnsi="Trebuchet MS"/>
          <w:b/>
          <w:sz w:val="20"/>
        </w:rPr>
        <w:fldChar w:fldCharType="separate"/>
      </w:r>
      <w:r w:rsidR="00556962">
        <w:rPr>
          <w:rFonts w:ascii="Trebuchet MS" w:hAnsi="Trebuchet MS"/>
          <w:b/>
          <w:noProof/>
          <w:sz w:val="20"/>
        </w:rPr>
        <w:t>18</w:t>
      </w:r>
      <w:r w:rsidR="00792500" w:rsidRPr="00990270">
        <w:rPr>
          <w:rFonts w:ascii="Trebuchet MS" w:hAnsi="Trebuchet MS"/>
          <w:b/>
          <w:sz w:val="20"/>
        </w:rPr>
        <w:fldChar w:fldCharType="end"/>
      </w:r>
      <w:r w:rsidRPr="00990270">
        <w:rPr>
          <w:rFonts w:ascii="Trebuchet MS" w:hAnsi="Trebuchet MS"/>
          <w:b/>
          <w:sz w:val="20"/>
        </w:rPr>
        <w:t xml:space="preserve"> : Pourcentage de ménages suivant les différentes sources d’énergie utilisées par milieu de résidence et par département</w:t>
      </w:r>
      <w:bookmarkEnd w:id="145"/>
    </w:p>
    <w:tbl>
      <w:tblPr>
        <w:tblW w:w="5284"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621"/>
        <w:gridCol w:w="710"/>
        <w:gridCol w:w="1157"/>
        <w:gridCol w:w="1194"/>
        <w:gridCol w:w="906"/>
        <w:gridCol w:w="863"/>
        <w:gridCol w:w="848"/>
        <w:gridCol w:w="706"/>
        <w:gridCol w:w="851"/>
        <w:gridCol w:w="845"/>
        <w:gridCol w:w="848"/>
        <w:gridCol w:w="709"/>
        <w:gridCol w:w="993"/>
        <w:gridCol w:w="863"/>
        <w:gridCol w:w="981"/>
      </w:tblGrid>
      <w:tr w:rsidR="002320E0" w:rsidRPr="00990270" w:rsidTr="00990270">
        <w:trPr>
          <w:trHeight w:val="304"/>
          <w:tblHeader/>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p>
        </w:tc>
        <w:tc>
          <w:tcPr>
            <w:tcW w:w="3807" w:type="pct"/>
            <w:gridSpan w:val="13"/>
            <w:tcBorders>
              <w:top w:val="double" w:sz="4" w:space="0" w:color="auto"/>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Pourcentage de ménage suivant les sources d’énergie utilisées</w:t>
            </w:r>
          </w:p>
        </w:tc>
        <w:tc>
          <w:tcPr>
            <w:tcW w:w="325" w:type="pct"/>
            <w:vMerge w:val="restart"/>
            <w:shd w:val="clear" w:color="auto" w:fill="auto"/>
            <w:noWrap/>
            <w:hideMark/>
          </w:tcPr>
          <w:p w:rsidR="002320E0" w:rsidRPr="00990270" w:rsidRDefault="002320E0" w:rsidP="005D64EE">
            <w:pPr>
              <w:keepNext/>
              <w:jc w:val="center"/>
              <w:rPr>
                <w:rFonts w:ascii="Trebuchet MS" w:eastAsia="Times New Roman" w:hAnsi="Trebuchet MS"/>
                <w:color w:val="000000"/>
                <w:lang w:eastAsia="fr-FR"/>
              </w:rPr>
            </w:pPr>
            <w:r w:rsidRPr="00990270">
              <w:rPr>
                <w:rFonts w:ascii="Trebuchet MS" w:eastAsia="Times New Roman" w:hAnsi="Trebuchet MS"/>
                <w:color w:val="000000"/>
                <w:sz w:val="20"/>
                <w:szCs w:val="20"/>
                <w:lang w:eastAsia="fr-FR"/>
              </w:rPr>
              <w:t>Effectif des ménages</w:t>
            </w:r>
          </w:p>
        </w:tc>
      </w:tr>
      <w:tr w:rsidR="002320E0" w:rsidRPr="00990270" w:rsidTr="00990270">
        <w:trPr>
          <w:trHeight w:val="1272"/>
          <w:tblHeader/>
        </w:trPr>
        <w:tc>
          <w:tcPr>
            <w:tcW w:w="868"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235" w:type="pct"/>
            <w:tcBorders>
              <w:top w:val="single" w:sz="4" w:space="0" w:color="auto"/>
              <w:bottom w:val="single" w:sz="4" w:space="0" w:color="auto"/>
            </w:tcBorders>
            <w:shd w:val="clear" w:color="auto" w:fill="auto"/>
            <w:hideMark/>
          </w:tcPr>
          <w:p w:rsidR="002320E0" w:rsidRPr="00990270" w:rsidRDefault="0099027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Ligne direct</w:t>
            </w:r>
            <w:r w:rsidR="002320E0" w:rsidRPr="00990270">
              <w:rPr>
                <w:rFonts w:ascii="Trebuchet MS" w:eastAsia="Times New Roman" w:hAnsi="Trebuchet MS"/>
                <w:color w:val="000000"/>
                <w:sz w:val="20"/>
                <w:szCs w:val="20"/>
                <w:lang w:eastAsia="fr-FR"/>
              </w:rPr>
              <w:t xml:space="preserve"> SBEE</w:t>
            </w:r>
          </w:p>
        </w:tc>
        <w:tc>
          <w:tcPr>
            <w:tcW w:w="383"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Ligne sous-taitée SBEE (toile d'araignée)</w:t>
            </w:r>
          </w:p>
        </w:tc>
        <w:tc>
          <w:tcPr>
            <w:tcW w:w="395"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Groupe électrogène</w:t>
            </w:r>
          </w:p>
        </w:tc>
        <w:tc>
          <w:tcPr>
            <w:tcW w:w="300"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Pétrole</w:t>
            </w:r>
          </w:p>
        </w:tc>
        <w:tc>
          <w:tcPr>
            <w:tcW w:w="286"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Energie solaire</w:t>
            </w:r>
          </w:p>
        </w:tc>
        <w:tc>
          <w:tcPr>
            <w:tcW w:w="281"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Charbon de bois</w:t>
            </w:r>
          </w:p>
        </w:tc>
        <w:tc>
          <w:tcPr>
            <w:tcW w:w="234"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Pile à torche</w:t>
            </w:r>
          </w:p>
        </w:tc>
        <w:tc>
          <w:tcPr>
            <w:tcW w:w="282"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Batterie</w:t>
            </w:r>
          </w:p>
        </w:tc>
        <w:tc>
          <w:tcPr>
            <w:tcW w:w="280"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 xml:space="preserve">Gaz de pétrole </w:t>
            </w:r>
            <w:r w:rsidR="00DA5FBF" w:rsidRPr="00990270">
              <w:rPr>
                <w:rFonts w:ascii="Trebuchet MS" w:eastAsia="Times New Roman" w:hAnsi="Trebuchet MS"/>
                <w:color w:val="000000"/>
                <w:sz w:val="20"/>
                <w:szCs w:val="20"/>
                <w:lang w:eastAsia="fr-FR"/>
              </w:rPr>
              <w:t>liquéfié</w:t>
            </w:r>
            <w:r w:rsidRPr="00990270">
              <w:rPr>
                <w:rFonts w:ascii="Trebuchet MS" w:eastAsia="Times New Roman" w:hAnsi="Trebuchet MS"/>
                <w:color w:val="000000"/>
                <w:sz w:val="20"/>
                <w:szCs w:val="20"/>
                <w:lang w:eastAsia="fr-FR"/>
              </w:rPr>
              <w:t xml:space="preserve"> (GPL ou LPG)</w:t>
            </w:r>
          </w:p>
        </w:tc>
        <w:tc>
          <w:tcPr>
            <w:tcW w:w="281"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Gaz de propane</w:t>
            </w:r>
          </w:p>
        </w:tc>
        <w:tc>
          <w:tcPr>
            <w:tcW w:w="235"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Bougie</w:t>
            </w:r>
          </w:p>
        </w:tc>
        <w:tc>
          <w:tcPr>
            <w:tcW w:w="329"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Biomasse</w:t>
            </w:r>
          </w:p>
        </w:tc>
        <w:tc>
          <w:tcPr>
            <w:tcW w:w="286" w:type="pct"/>
            <w:tcBorders>
              <w:top w:val="single" w:sz="4" w:space="0" w:color="auto"/>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r w:rsidRPr="00990270">
              <w:rPr>
                <w:rFonts w:ascii="Trebuchet MS" w:eastAsia="Times New Roman" w:hAnsi="Trebuchet MS"/>
                <w:color w:val="000000"/>
                <w:sz w:val="20"/>
                <w:szCs w:val="20"/>
                <w:lang w:eastAsia="fr-FR"/>
              </w:rPr>
              <w:t>Bois de chauffe</w:t>
            </w:r>
          </w:p>
        </w:tc>
        <w:tc>
          <w:tcPr>
            <w:tcW w:w="325" w:type="pct"/>
            <w:vMerge/>
            <w:tcBorders>
              <w:bottom w:val="single" w:sz="4" w:space="0" w:color="auto"/>
            </w:tcBorders>
            <w:shd w:val="clear" w:color="auto" w:fill="auto"/>
            <w:hideMark/>
          </w:tcPr>
          <w:p w:rsidR="002320E0" w:rsidRPr="00990270" w:rsidRDefault="002320E0" w:rsidP="005D64EE">
            <w:pPr>
              <w:keepNext/>
              <w:spacing w:after="0" w:line="240" w:lineRule="auto"/>
              <w:jc w:val="center"/>
              <w:rPr>
                <w:rFonts w:ascii="Trebuchet MS" w:eastAsia="Times New Roman" w:hAnsi="Trebuchet MS"/>
                <w:color w:val="000000"/>
                <w:sz w:val="20"/>
                <w:szCs w:val="20"/>
                <w:lang w:eastAsia="fr-FR"/>
              </w:rPr>
            </w:pPr>
          </w:p>
        </w:tc>
      </w:tr>
      <w:tr w:rsidR="002320E0" w:rsidRPr="00990270" w:rsidTr="00990270">
        <w:trPr>
          <w:trHeight w:val="304"/>
        </w:trPr>
        <w:tc>
          <w:tcPr>
            <w:tcW w:w="868" w:type="pct"/>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Milieu de résidence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tcBorders>
              <w:bottom w:val="nil"/>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Urbain</w:t>
            </w:r>
          </w:p>
        </w:tc>
        <w:tc>
          <w:tcPr>
            <w:tcW w:w="23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38,4</w:t>
            </w:r>
          </w:p>
        </w:tc>
        <w:tc>
          <w:tcPr>
            <w:tcW w:w="383"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8,8</w:t>
            </w:r>
          </w:p>
        </w:tc>
        <w:tc>
          <w:tcPr>
            <w:tcW w:w="300"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33,2</w:t>
            </w:r>
          </w:p>
        </w:tc>
        <w:tc>
          <w:tcPr>
            <w:tcW w:w="286"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281"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39,4</w:t>
            </w:r>
          </w:p>
        </w:tc>
        <w:tc>
          <w:tcPr>
            <w:tcW w:w="234"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68,6</w:t>
            </w:r>
          </w:p>
        </w:tc>
        <w:tc>
          <w:tcPr>
            <w:tcW w:w="282"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c>
          <w:tcPr>
            <w:tcW w:w="280"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w:t>
            </w:r>
          </w:p>
        </w:tc>
        <w:tc>
          <w:tcPr>
            <w:tcW w:w="281"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w:t>
            </w:r>
          </w:p>
        </w:tc>
        <w:tc>
          <w:tcPr>
            <w:tcW w:w="23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20,1</w:t>
            </w:r>
          </w:p>
        </w:tc>
        <w:tc>
          <w:tcPr>
            <w:tcW w:w="329"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25,2</w:t>
            </w:r>
          </w:p>
        </w:tc>
        <w:tc>
          <w:tcPr>
            <w:tcW w:w="32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1577</w:t>
            </w:r>
          </w:p>
        </w:tc>
      </w:tr>
      <w:tr w:rsidR="002320E0" w:rsidRPr="00990270" w:rsidTr="00990270">
        <w:trPr>
          <w:trHeight w:val="304"/>
        </w:trPr>
        <w:tc>
          <w:tcPr>
            <w:tcW w:w="868" w:type="pct"/>
            <w:tcBorders>
              <w:top w:val="nil"/>
              <w:bottom w:val="nil"/>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Rural</w:t>
            </w:r>
          </w:p>
        </w:tc>
        <w:tc>
          <w:tcPr>
            <w:tcW w:w="23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12,1</w:t>
            </w:r>
          </w:p>
        </w:tc>
        <w:tc>
          <w:tcPr>
            <w:tcW w:w="383"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9,1</w:t>
            </w:r>
          </w:p>
        </w:tc>
        <w:tc>
          <w:tcPr>
            <w:tcW w:w="39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47,7</w:t>
            </w:r>
          </w:p>
        </w:tc>
        <w:tc>
          <w:tcPr>
            <w:tcW w:w="286"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29,9</w:t>
            </w:r>
          </w:p>
        </w:tc>
        <w:tc>
          <w:tcPr>
            <w:tcW w:w="234"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77,4</w:t>
            </w:r>
          </w:p>
        </w:tc>
        <w:tc>
          <w:tcPr>
            <w:tcW w:w="282"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80"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81"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3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15,2</w:t>
            </w:r>
          </w:p>
        </w:tc>
        <w:tc>
          <w:tcPr>
            <w:tcW w:w="329"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44,4</w:t>
            </w:r>
          </w:p>
        </w:tc>
        <w:tc>
          <w:tcPr>
            <w:tcW w:w="32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2239</w:t>
            </w:r>
          </w:p>
        </w:tc>
      </w:tr>
      <w:tr w:rsidR="002320E0" w:rsidRPr="00990270" w:rsidTr="00990270">
        <w:trPr>
          <w:trHeight w:val="304"/>
        </w:trPr>
        <w:tc>
          <w:tcPr>
            <w:tcW w:w="868" w:type="pct"/>
            <w:tcBorders>
              <w:top w:val="nil"/>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Département de résidence</w:t>
            </w:r>
          </w:p>
        </w:tc>
        <w:tc>
          <w:tcPr>
            <w:tcW w:w="23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83"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9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00"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4"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2"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0"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9"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ALIBORI</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63,8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ATACORA</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22,7</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84,1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277</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ATLANTIQUE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28,8</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13,6</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59,5</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59,8</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37,7</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316</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BORGOU</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11,8</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94,8</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347</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COLLINES</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11,5</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11,9</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33,7</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31,7</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14,1</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35,6</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COUFFO</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43,7</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60,9</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215</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DONGA</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25,6</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10,4</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12,3</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92,9</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16,2</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308</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LITTORAL</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20,2</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36,1</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56,0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51,2</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23,4</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252</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MONO</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18,3</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54,2</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76,5</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0,7</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84,0</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306</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OUEME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41,4</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9,5</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71,2</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50,6</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61,7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41,9</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PLATEAU</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13,2</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19,4</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23,6</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81,9</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45,8</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52,1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25,7</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0,7</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59,7</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144</w:t>
            </w:r>
          </w:p>
        </w:tc>
      </w:tr>
      <w:tr w:rsidR="002320E0" w:rsidRPr="00990270" w:rsidTr="00990270">
        <w:trPr>
          <w:trHeight w:val="304"/>
        </w:trPr>
        <w:tc>
          <w:tcPr>
            <w:tcW w:w="868"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ZOU</w:t>
            </w:r>
          </w:p>
        </w:tc>
        <w:tc>
          <w:tcPr>
            <w:tcW w:w="23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24,0</w:t>
            </w:r>
          </w:p>
        </w:tc>
        <w:tc>
          <w:tcPr>
            <w:tcW w:w="383"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13,4</w:t>
            </w:r>
          </w:p>
        </w:tc>
        <w:tc>
          <w:tcPr>
            <w:tcW w:w="39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00"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60,4</w:t>
            </w:r>
          </w:p>
        </w:tc>
        <w:tc>
          <w:tcPr>
            <w:tcW w:w="286"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w:t>
            </w:r>
          </w:p>
        </w:tc>
        <w:tc>
          <w:tcPr>
            <w:tcW w:w="281"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34,8</w:t>
            </w:r>
          </w:p>
        </w:tc>
        <w:tc>
          <w:tcPr>
            <w:tcW w:w="234"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44,7</w:t>
            </w:r>
          </w:p>
        </w:tc>
        <w:tc>
          <w:tcPr>
            <w:tcW w:w="282"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0"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1"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3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329"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34,1</w:t>
            </w:r>
          </w:p>
        </w:tc>
        <w:tc>
          <w:tcPr>
            <w:tcW w:w="32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454</w:t>
            </w:r>
          </w:p>
        </w:tc>
      </w:tr>
      <w:tr w:rsidR="002320E0" w:rsidRPr="00990270" w:rsidTr="00990270">
        <w:trPr>
          <w:trHeight w:val="304"/>
        </w:trPr>
        <w:tc>
          <w:tcPr>
            <w:tcW w:w="868" w:type="pct"/>
            <w:tcBorders>
              <w:top w:val="single" w:sz="4" w:space="0" w:color="auto"/>
              <w:bottom w:val="nil"/>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Ensemble</w:t>
            </w:r>
          </w:p>
        </w:tc>
        <w:tc>
          <w:tcPr>
            <w:tcW w:w="23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23,0</w:t>
            </w:r>
          </w:p>
        </w:tc>
        <w:tc>
          <w:tcPr>
            <w:tcW w:w="383"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12,2</w:t>
            </w:r>
          </w:p>
        </w:tc>
        <w:tc>
          <w:tcPr>
            <w:tcW w:w="39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00"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41,7</w:t>
            </w:r>
          </w:p>
        </w:tc>
        <w:tc>
          <w:tcPr>
            <w:tcW w:w="286"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33,8</w:t>
            </w:r>
          </w:p>
        </w:tc>
        <w:tc>
          <w:tcPr>
            <w:tcW w:w="234"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73,7</w:t>
            </w:r>
          </w:p>
        </w:tc>
        <w:tc>
          <w:tcPr>
            <w:tcW w:w="282"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0"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w:t>
            </w:r>
          </w:p>
        </w:tc>
        <w:tc>
          <w:tcPr>
            <w:tcW w:w="281"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3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17,2</w:t>
            </w:r>
          </w:p>
        </w:tc>
        <w:tc>
          <w:tcPr>
            <w:tcW w:w="329"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868" w:type="pct"/>
            <w:tcBorders>
              <w:top w:val="nil"/>
              <w:bottom w:val="double" w:sz="4" w:space="0" w:color="auto"/>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Effectif  des ménages</w:t>
            </w:r>
          </w:p>
        </w:tc>
        <w:tc>
          <w:tcPr>
            <w:tcW w:w="23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877</w:t>
            </w:r>
          </w:p>
        </w:tc>
        <w:tc>
          <w:tcPr>
            <w:tcW w:w="383"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39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427</w:t>
            </w:r>
          </w:p>
        </w:tc>
        <w:tc>
          <w:tcPr>
            <w:tcW w:w="300"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1592</w:t>
            </w:r>
          </w:p>
        </w:tc>
        <w:tc>
          <w:tcPr>
            <w:tcW w:w="286"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80</w:t>
            </w:r>
          </w:p>
        </w:tc>
        <w:tc>
          <w:tcPr>
            <w:tcW w:w="281"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1291</w:t>
            </w:r>
          </w:p>
        </w:tc>
        <w:tc>
          <w:tcPr>
            <w:tcW w:w="234"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2814</w:t>
            </w:r>
          </w:p>
        </w:tc>
        <w:tc>
          <w:tcPr>
            <w:tcW w:w="282"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280"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w:t>
            </w:r>
          </w:p>
        </w:tc>
        <w:tc>
          <w:tcPr>
            <w:tcW w:w="281"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w:t>
            </w:r>
          </w:p>
        </w:tc>
        <w:tc>
          <w:tcPr>
            <w:tcW w:w="23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657</w:t>
            </w:r>
          </w:p>
        </w:tc>
        <w:tc>
          <w:tcPr>
            <w:tcW w:w="329"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w:t>
            </w:r>
          </w:p>
        </w:tc>
        <w:tc>
          <w:tcPr>
            <w:tcW w:w="286"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1390</w:t>
            </w:r>
          </w:p>
        </w:tc>
        <w:tc>
          <w:tcPr>
            <w:tcW w:w="32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5000" w:type="pct"/>
            <w:gridSpan w:val="15"/>
            <w:tcBorders>
              <w:top w:val="double" w:sz="4" w:space="0" w:color="auto"/>
              <w:bottom w:val="nil"/>
            </w:tcBorders>
            <w:shd w:val="clear" w:color="auto" w:fill="auto"/>
            <w:noWrap/>
            <w:vAlign w:val="bottom"/>
            <w:hideMark/>
          </w:tcPr>
          <w:p w:rsidR="002320E0" w:rsidRPr="005D64EE" w:rsidRDefault="002320E0" w:rsidP="005D64EE">
            <w:pPr>
              <w:keepNext/>
              <w:spacing w:after="0" w:line="240" w:lineRule="auto"/>
              <w:rPr>
                <w:rFonts w:ascii="Trebuchet MS" w:eastAsia="Times New Roman" w:hAnsi="Trebuchet MS"/>
                <w:b/>
                <w:color w:val="000000"/>
                <w:lang w:eastAsia="fr-FR"/>
              </w:rPr>
            </w:pPr>
            <w:r w:rsidRPr="005D64EE">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Pr>
        <w:jc w:val="both"/>
        <w:rPr>
          <w:rFonts w:ascii="Times New Roman" w:hAnsi="Times New Roman"/>
        </w:rPr>
        <w:sectPr w:rsidR="002320E0" w:rsidSect="00605DE4">
          <w:pgSz w:w="16838" w:h="11906" w:orient="landscape"/>
          <w:pgMar w:top="1418" w:right="1843" w:bottom="1418" w:left="851" w:header="709" w:footer="0" w:gutter="0"/>
          <w:cols w:space="708"/>
          <w:docGrid w:linePitch="360"/>
        </w:sectPr>
      </w:pPr>
    </w:p>
    <w:p w:rsidR="002320E0" w:rsidRPr="0056269C" w:rsidRDefault="002320E0" w:rsidP="00225FA2">
      <w:pPr>
        <w:jc w:val="both"/>
        <w:rPr>
          <w:rFonts w:ascii="Trebuchet MS" w:hAnsi="Trebuchet MS"/>
        </w:rPr>
      </w:pPr>
      <w:r>
        <w:rPr>
          <w:rFonts w:ascii="Trebuchet MS" w:hAnsi="Trebuchet MS"/>
        </w:rPr>
        <w:t>De l’analyse selon les caractéristiques de logement, i</w:t>
      </w:r>
      <w:r w:rsidRPr="0056269C">
        <w:rPr>
          <w:rFonts w:ascii="Trebuchet MS" w:hAnsi="Trebuchet MS"/>
        </w:rPr>
        <w:t>l ressort principalement que les ménages utilisant la ligne directe SBEE sont en grand nombre dans les logements de caractéristiques Carreaux + Brique + Dalle (93,2%), Carreaux + Brique + Tôle (85,0%) et Carreaux + Brique + Tuile (85,7%) ; ceux utilisant le pétrole sont en grand nombre dans les logements de caractéristiques Bouse + Terre + Tôle (90,9%), Terre/sabl</w:t>
      </w:r>
      <w:r>
        <w:rPr>
          <w:rFonts w:ascii="Trebuchet MS" w:hAnsi="Trebuchet MS"/>
        </w:rPr>
        <w:t>e</w:t>
      </w:r>
      <w:r w:rsidRPr="0056269C">
        <w:rPr>
          <w:rFonts w:ascii="Trebuchet MS" w:hAnsi="Trebuchet MS"/>
        </w:rPr>
        <w:t xml:space="preserve"> + Palme/Bamb</w:t>
      </w:r>
      <w:r>
        <w:rPr>
          <w:rFonts w:ascii="Trebuchet MS" w:hAnsi="Trebuchet MS"/>
        </w:rPr>
        <w:t>ou</w:t>
      </w:r>
      <w:r w:rsidRPr="0056269C">
        <w:rPr>
          <w:rFonts w:ascii="Trebuchet MS" w:hAnsi="Trebuchet MS"/>
        </w:rPr>
        <w:t xml:space="preserve"> + Tôle (78,6%) et Ciment + Brique + Tuile (64,1%) et ceux utilisant le bois de chauffe sont en grand </w:t>
      </w:r>
      <w:r>
        <w:rPr>
          <w:rFonts w:ascii="Trebuchet MS" w:hAnsi="Trebuchet MS"/>
        </w:rPr>
        <w:t>partie</w:t>
      </w:r>
      <w:r w:rsidRPr="0056269C">
        <w:rPr>
          <w:rFonts w:ascii="Trebuchet MS" w:hAnsi="Trebuchet MS"/>
        </w:rPr>
        <w:t xml:space="preserve"> dans les logements de caractéristiques Terre/sabl</w:t>
      </w:r>
      <w:r>
        <w:rPr>
          <w:rFonts w:ascii="Trebuchet MS" w:hAnsi="Trebuchet MS"/>
        </w:rPr>
        <w:t>e</w:t>
      </w:r>
      <w:r w:rsidRPr="0056269C">
        <w:rPr>
          <w:rFonts w:ascii="Trebuchet MS" w:hAnsi="Trebuchet MS"/>
        </w:rPr>
        <w:t xml:space="preserve"> + Semi-dur + Tôle (72,0%), Terre/sabl</w:t>
      </w:r>
      <w:r>
        <w:rPr>
          <w:rFonts w:ascii="Trebuchet MS" w:hAnsi="Trebuchet MS"/>
        </w:rPr>
        <w:t>e</w:t>
      </w:r>
      <w:r w:rsidRPr="0056269C">
        <w:rPr>
          <w:rFonts w:ascii="Trebuchet MS" w:hAnsi="Trebuchet MS"/>
        </w:rPr>
        <w:t xml:space="preserve"> + Palme/Bamb</w:t>
      </w:r>
      <w:r>
        <w:rPr>
          <w:rFonts w:ascii="Trebuchet MS" w:hAnsi="Trebuchet MS"/>
        </w:rPr>
        <w:t>ou</w:t>
      </w:r>
      <w:r w:rsidRPr="0056269C">
        <w:rPr>
          <w:rFonts w:ascii="Trebuchet MS" w:hAnsi="Trebuchet MS"/>
        </w:rPr>
        <w:t xml:space="preserve"> + Tôle (64,3%) et Ciment + Terre + Paille (54,5%).</w:t>
      </w:r>
    </w:p>
    <w:p w:rsidR="002320E0" w:rsidRPr="006F3495" w:rsidRDefault="006F3495" w:rsidP="00F03E08">
      <w:pPr>
        <w:pStyle w:val="Titre4"/>
      </w:pPr>
      <w:bookmarkStart w:id="146" w:name="_Toc426359446"/>
      <w:r>
        <w:t xml:space="preserve">2.1.3. </w:t>
      </w:r>
      <w:r w:rsidR="002320E0" w:rsidRPr="006F3495">
        <w:t>Utilisation simultanée de sources d’énergie</w:t>
      </w:r>
      <w:bookmarkEnd w:id="146"/>
    </w:p>
    <w:p w:rsidR="002320E0" w:rsidRDefault="002320E0" w:rsidP="005629CC">
      <w:pPr>
        <w:jc w:val="both"/>
        <w:rPr>
          <w:rFonts w:ascii="Trebuchet MS" w:hAnsi="Trebuchet MS"/>
        </w:rPr>
      </w:pPr>
      <w:r>
        <w:rPr>
          <w:rFonts w:ascii="Trebuchet MS" w:hAnsi="Trebuchet MS"/>
        </w:rPr>
        <w:t>Comme le montre le graphique ci-après, moins d’un quart (</w:t>
      </w:r>
      <w:r w:rsidRPr="00E42744">
        <w:rPr>
          <w:rFonts w:ascii="Trebuchet MS" w:hAnsi="Trebuchet MS"/>
        </w:rPr>
        <w:t>22,3%</w:t>
      </w:r>
      <w:r>
        <w:rPr>
          <w:rFonts w:ascii="Trebuchet MS" w:hAnsi="Trebuchet MS"/>
        </w:rPr>
        <w:t>) des ménages</w:t>
      </w:r>
      <w:r w:rsidRPr="00E42744">
        <w:rPr>
          <w:rFonts w:ascii="Trebuchet MS" w:hAnsi="Trebuchet MS"/>
        </w:rPr>
        <w:t xml:space="preserve"> ut</w:t>
      </w:r>
      <w:r>
        <w:rPr>
          <w:rFonts w:ascii="Trebuchet MS" w:hAnsi="Trebuchet MS"/>
        </w:rPr>
        <w:t>i</w:t>
      </w:r>
      <w:r w:rsidRPr="00E42744">
        <w:rPr>
          <w:rFonts w:ascii="Trebuchet MS" w:hAnsi="Trebuchet MS"/>
        </w:rPr>
        <w:t>lisent au moins une autre source simultanée avec l’électricité.</w:t>
      </w:r>
      <w:r>
        <w:rPr>
          <w:rFonts w:ascii="Trebuchet MS" w:hAnsi="Trebuchet MS"/>
        </w:rPr>
        <w:t xml:space="preserve"> La proportion de ménage utilisant simultanément plusieurs sources d’énergie est estimée à 22,3% en milieu urbain contre 21,7% en milieu rural.</w:t>
      </w:r>
    </w:p>
    <w:p w:rsidR="006F3495" w:rsidRPr="00605DE4" w:rsidRDefault="00605DE4" w:rsidP="005B705F">
      <w:pPr>
        <w:pStyle w:val="Lgende"/>
        <w:keepNext/>
        <w:spacing w:after="0" w:line="240" w:lineRule="auto"/>
        <w:jc w:val="both"/>
        <w:rPr>
          <w:rFonts w:ascii="Trebuchet MS" w:hAnsi="Trebuchet MS"/>
          <w:sz w:val="24"/>
          <w:szCs w:val="24"/>
        </w:rPr>
      </w:pPr>
      <w:bookmarkStart w:id="147" w:name="_Toc426359261"/>
      <w:r w:rsidRPr="00605DE4">
        <w:rPr>
          <w:rFonts w:ascii="Trebuchet MS" w:hAnsi="Trebuchet MS"/>
        </w:rPr>
        <w:t xml:space="preserve">Graphique </w:t>
      </w:r>
      <w:r w:rsidR="00792500" w:rsidRPr="00605DE4">
        <w:rPr>
          <w:rFonts w:ascii="Trebuchet MS" w:hAnsi="Trebuchet MS"/>
        </w:rPr>
        <w:fldChar w:fldCharType="begin"/>
      </w:r>
      <w:r w:rsidRPr="00605DE4">
        <w:rPr>
          <w:rFonts w:ascii="Trebuchet MS" w:hAnsi="Trebuchet MS"/>
        </w:rPr>
        <w:instrText xml:space="preserve"> SEQ Graphique \* ARABIC </w:instrText>
      </w:r>
      <w:r w:rsidR="00792500" w:rsidRPr="00605DE4">
        <w:rPr>
          <w:rFonts w:ascii="Trebuchet MS" w:hAnsi="Trebuchet MS"/>
        </w:rPr>
        <w:fldChar w:fldCharType="separate"/>
      </w:r>
      <w:r w:rsidRPr="00605DE4">
        <w:rPr>
          <w:rFonts w:ascii="Trebuchet MS" w:hAnsi="Trebuchet MS"/>
          <w:noProof/>
        </w:rPr>
        <w:t>7</w:t>
      </w:r>
      <w:r w:rsidR="00792500" w:rsidRPr="00605DE4">
        <w:rPr>
          <w:rFonts w:ascii="Trebuchet MS" w:hAnsi="Trebuchet MS"/>
        </w:rPr>
        <w:fldChar w:fldCharType="end"/>
      </w:r>
      <w:r w:rsidR="006F3495" w:rsidRPr="00605DE4">
        <w:rPr>
          <w:rFonts w:ascii="Trebuchet MS" w:hAnsi="Trebuchet MS"/>
          <w:szCs w:val="22"/>
        </w:rPr>
        <w:t>: Répartition (%) des ménages selon leur statut dans l’utilisation d’une source simultanée avec l’électricité</w:t>
      </w:r>
      <w:bookmarkEnd w:id="147"/>
    </w:p>
    <w:tbl>
      <w:tblPr>
        <w:tblStyle w:val="Grilledutableau"/>
        <w:tblW w:w="7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05"/>
      </w:tblGrid>
      <w:tr w:rsidR="002320E0" w:rsidTr="005629CC">
        <w:trPr>
          <w:trHeight w:val="3949"/>
        </w:trPr>
        <w:tc>
          <w:tcPr>
            <w:tcW w:w="7905" w:type="dxa"/>
            <w:shd w:val="clear" w:color="auto" w:fill="auto"/>
          </w:tcPr>
          <w:p w:rsidR="002320E0" w:rsidRPr="00712B95" w:rsidRDefault="002320E0" w:rsidP="005B705F">
            <w:pPr>
              <w:keepNext/>
              <w:spacing w:after="0"/>
              <w:jc w:val="both"/>
              <w:rPr>
                <w:rFonts w:ascii="Trebuchet MS" w:hAnsi="Trebuchet MS"/>
                <w:sz w:val="6"/>
                <w:szCs w:val="6"/>
              </w:rPr>
            </w:pPr>
          </w:p>
          <w:p w:rsidR="002320E0" w:rsidRDefault="002320E0" w:rsidP="005B705F">
            <w:pPr>
              <w:keepNext/>
              <w:spacing w:after="0"/>
              <w:jc w:val="center"/>
              <w:rPr>
                <w:rFonts w:ascii="Trebuchet MS" w:hAnsi="Trebuchet MS"/>
              </w:rPr>
            </w:pPr>
            <w:r w:rsidRPr="00DE40CD">
              <w:rPr>
                <w:rFonts w:ascii="Trebuchet MS" w:hAnsi="Trebuchet MS"/>
                <w:noProof/>
                <w:lang w:eastAsia="fr-FR"/>
              </w:rPr>
              <w:drawing>
                <wp:inline distT="0" distB="0" distL="0" distR="0">
                  <wp:extent cx="4845892" cy="2371061"/>
                  <wp:effectExtent l="0" t="0" r="12065" b="10795"/>
                  <wp:docPr id="10"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2320E0" w:rsidTr="005629CC">
        <w:trPr>
          <w:trHeight w:val="4011"/>
        </w:trPr>
        <w:tc>
          <w:tcPr>
            <w:tcW w:w="7905" w:type="dxa"/>
            <w:shd w:val="clear" w:color="auto" w:fill="auto"/>
          </w:tcPr>
          <w:p w:rsidR="002320E0" w:rsidRPr="00712B95" w:rsidRDefault="002320E0" w:rsidP="005B705F">
            <w:pPr>
              <w:keepNext/>
              <w:spacing w:before="60" w:after="40"/>
              <w:jc w:val="both"/>
              <w:rPr>
                <w:rFonts w:ascii="Trebuchet MS" w:hAnsi="Trebuchet MS"/>
                <w:sz w:val="6"/>
                <w:szCs w:val="6"/>
              </w:rPr>
            </w:pPr>
            <w:r w:rsidRPr="00DA6E0E">
              <w:rPr>
                <w:rFonts w:ascii="Trebuchet MS" w:hAnsi="Trebuchet MS"/>
                <w:noProof/>
                <w:sz w:val="6"/>
                <w:szCs w:val="6"/>
                <w:lang w:eastAsia="fr-FR"/>
              </w:rPr>
              <w:drawing>
                <wp:inline distT="0" distB="0" distL="0" distR="0">
                  <wp:extent cx="4845892" cy="2424223"/>
                  <wp:effectExtent l="0" t="0" r="12065" b="14605"/>
                  <wp:docPr id="3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2320E0" w:rsidTr="005629CC">
        <w:trPr>
          <w:trHeight w:val="248"/>
        </w:trPr>
        <w:tc>
          <w:tcPr>
            <w:tcW w:w="7905" w:type="dxa"/>
            <w:shd w:val="clear" w:color="auto" w:fill="auto"/>
          </w:tcPr>
          <w:p w:rsidR="002320E0" w:rsidRPr="00605DE4" w:rsidRDefault="002320E0" w:rsidP="005B705F">
            <w:pPr>
              <w:keepNext/>
              <w:spacing w:after="0"/>
              <w:jc w:val="both"/>
              <w:rPr>
                <w:rFonts w:ascii="Trebuchet MS" w:hAnsi="Trebuchet MS"/>
                <w:b/>
              </w:rPr>
            </w:pPr>
            <w:r w:rsidRPr="00605DE4">
              <w:rPr>
                <w:rFonts w:ascii="Trebuchet MS" w:hAnsi="Trebuchet MS" w:cs="Arial"/>
                <w:b/>
                <w:bCs/>
                <w:color w:val="000000"/>
              </w:rPr>
              <w:t>Source : ECEB, INSAE, 2015</w:t>
            </w:r>
          </w:p>
        </w:tc>
      </w:tr>
    </w:tbl>
    <w:p w:rsidR="002320E0" w:rsidRDefault="002320E0" w:rsidP="002320E0">
      <w:pPr>
        <w:jc w:val="both"/>
        <w:rPr>
          <w:rFonts w:ascii="Trebuchet MS" w:hAnsi="Trebuchet MS"/>
        </w:rPr>
      </w:pPr>
    </w:p>
    <w:p w:rsidR="002320E0" w:rsidRDefault="002320E0" w:rsidP="00DB6C43">
      <w:pPr>
        <w:jc w:val="both"/>
        <w:rPr>
          <w:rFonts w:ascii="Trebuchet MS" w:hAnsi="Trebuchet MS"/>
        </w:rPr>
      </w:pPr>
      <w:r>
        <w:rPr>
          <w:rFonts w:ascii="Trebuchet MS" w:hAnsi="Trebuchet MS"/>
        </w:rPr>
        <w:t>L’analyse selon le département révèle que plus de la moitié des ménages font usage</w:t>
      </w:r>
      <w:r w:rsidRPr="001C27A8">
        <w:rPr>
          <w:rFonts w:ascii="Trebuchet MS" w:hAnsi="Trebuchet MS"/>
        </w:rPr>
        <w:t xml:space="preserve"> simultané de sources d’énergie</w:t>
      </w:r>
      <w:r>
        <w:rPr>
          <w:rFonts w:ascii="Trebuchet MS" w:hAnsi="Trebuchet MS"/>
        </w:rPr>
        <w:t xml:space="preserve"> dans les </w:t>
      </w:r>
      <w:r w:rsidRPr="001C27A8">
        <w:rPr>
          <w:rFonts w:ascii="Trebuchet MS" w:hAnsi="Trebuchet MS"/>
        </w:rPr>
        <w:t>départements du Couffo (64,7%) et du Mono (57,7%).</w:t>
      </w:r>
    </w:p>
    <w:p w:rsidR="002320E0" w:rsidRPr="006F3495" w:rsidRDefault="006F3495" w:rsidP="00F03E08">
      <w:pPr>
        <w:pStyle w:val="Titre4"/>
      </w:pPr>
      <w:bookmarkStart w:id="148" w:name="_Toc426359447"/>
      <w:r>
        <w:t xml:space="preserve">2.1.4. </w:t>
      </w:r>
      <w:r w:rsidR="002320E0" w:rsidRPr="006F3495">
        <w:t>Source d’énergie utilisée simultanément avec l’électricité</w:t>
      </w:r>
      <w:bookmarkEnd w:id="148"/>
    </w:p>
    <w:p w:rsidR="002320E0" w:rsidRPr="00E42744" w:rsidRDefault="002320E0" w:rsidP="002320E0">
      <w:pPr>
        <w:jc w:val="both"/>
        <w:rPr>
          <w:rFonts w:ascii="Trebuchet MS" w:hAnsi="Trebuchet MS"/>
        </w:rPr>
      </w:pPr>
      <w:r>
        <w:rPr>
          <w:rFonts w:ascii="Trebuchet MS" w:hAnsi="Trebuchet MS"/>
        </w:rPr>
        <w:t xml:space="preserve">Parmi les ménages utilisant </w:t>
      </w:r>
      <w:r w:rsidRPr="00E42744">
        <w:rPr>
          <w:rFonts w:ascii="Trebuchet MS" w:hAnsi="Trebuchet MS"/>
        </w:rPr>
        <w:t>au moins une autre source simultané</w:t>
      </w:r>
      <w:r>
        <w:rPr>
          <w:rFonts w:ascii="Trebuchet MS" w:hAnsi="Trebuchet MS"/>
        </w:rPr>
        <w:t xml:space="preserve">ment </w:t>
      </w:r>
      <w:r w:rsidRPr="00E42744">
        <w:rPr>
          <w:rFonts w:ascii="Trebuchet MS" w:hAnsi="Trebuchet MS"/>
        </w:rPr>
        <w:t xml:space="preserve">avec l’électricité, </w:t>
      </w:r>
      <w:r>
        <w:rPr>
          <w:rFonts w:ascii="Trebuchet MS" w:hAnsi="Trebuchet MS"/>
        </w:rPr>
        <w:t xml:space="preserve">on proportion de ceux utilisant la pile à torche </w:t>
      </w:r>
      <w:r w:rsidRPr="00E42744">
        <w:rPr>
          <w:rFonts w:ascii="Trebuchet MS" w:hAnsi="Trebuchet MS"/>
        </w:rPr>
        <w:t xml:space="preserve">et </w:t>
      </w:r>
      <w:r>
        <w:rPr>
          <w:rFonts w:ascii="Trebuchet MS" w:hAnsi="Trebuchet MS"/>
        </w:rPr>
        <w:t xml:space="preserve">la </w:t>
      </w:r>
      <w:r w:rsidRPr="00E42744">
        <w:rPr>
          <w:rFonts w:ascii="Trebuchet MS" w:hAnsi="Trebuchet MS"/>
        </w:rPr>
        <w:t>batterie </w:t>
      </w:r>
      <w:r>
        <w:rPr>
          <w:rFonts w:ascii="Trebuchet MS" w:hAnsi="Trebuchet MS"/>
        </w:rPr>
        <w:t xml:space="preserve">est estimée à </w:t>
      </w:r>
      <w:r w:rsidRPr="00E42744">
        <w:rPr>
          <w:rFonts w:ascii="Trebuchet MS" w:hAnsi="Trebuchet MS"/>
        </w:rPr>
        <w:t>29,8%</w:t>
      </w:r>
      <w:r>
        <w:rPr>
          <w:rFonts w:ascii="Trebuchet MS" w:hAnsi="Trebuchet MS"/>
        </w:rPr>
        <w:t xml:space="preserve"> contre </w:t>
      </w:r>
      <w:r w:rsidRPr="00E42744">
        <w:rPr>
          <w:rFonts w:ascii="Trebuchet MS" w:hAnsi="Trebuchet MS"/>
        </w:rPr>
        <w:t xml:space="preserve">29,5% </w:t>
      </w:r>
      <w:r>
        <w:rPr>
          <w:rFonts w:ascii="Trebuchet MS" w:hAnsi="Trebuchet MS"/>
        </w:rPr>
        <w:t xml:space="preserve">pour le </w:t>
      </w:r>
      <w:r w:rsidRPr="00E42744">
        <w:rPr>
          <w:rFonts w:ascii="Trebuchet MS" w:hAnsi="Trebuchet MS"/>
        </w:rPr>
        <w:t>charbon</w:t>
      </w:r>
      <w:r>
        <w:rPr>
          <w:rFonts w:ascii="Trebuchet MS" w:hAnsi="Trebuchet MS"/>
        </w:rPr>
        <w:t xml:space="preserve"> de bois</w:t>
      </w:r>
      <w:r w:rsidRPr="00E42744">
        <w:rPr>
          <w:rFonts w:ascii="Trebuchet MS" w:hAnsi="Trebuchet MS"/>
        </w:rPr>
        <w:t xml:space="preserve">, </w:t>
      </w:r>
      <w:r>
        <w:rPr>
          <w:rFonts w:ascii="Trebuchet MS" w:hAnsi="Trebuchet MS"/>
        </w:rPr>
        <w:t xml:space="preserve">la </w:t>
      </w:r>
      <w:r w:rsidRPr="00E42744">
        <w:rPr>
          <w:rFonts w:ascii="Trebuchet MS" w:hAnsi="Trebuchet MS"/>
        </w:rPr>
        <w:t>biomasse et bois </w:t>
      </w:r>
      <w:r>
        <w:rPr>
          <w:rFonts w:ascii="Trebuchet MS" w:hAnsi="Trebuchet MS"/>
        </w:rPr>
        <w:t>de chauffe,</w:t>
      </w:r>
      <w:r w:rsidRPr="00E42744">
        <w:rPr>
          <w:rFonts w:ascii="Trebuchet MS" w:hAnsi="Trebuchet MS"/>
        </w:rPr>
        <w:t xml:space="preserve"> 21,7% pour </w:t>
      </w:r>
      <w:r>
        <w:rPr>
          <w:rFonts w:ascii="Trebuchet MS" w:hAnsi="Trebuchet MS"/>
        </w:rPr>
        <w:t xml:space="preserve">la bougie. Par ailleurs, </w:t>
      </w:r>
      <w:r w:rsidRPr="00E42744">
        <w:rPr>
          <w:rFonts w:ascii="Trebuchet MS" w:hAnsi="Trebuchet MS"/>
        </w:rPr>
        <w:t>3,4% des ménages utilisent seulement la ligne directe et toile d’araignée.</w:t>
      </w:r>
    </w:p>
    <w:p w:rsidR="002320E0" w:rsidRDefault="002320E0" w:rsidP="002320E0">
      <w:pPr>
        <w:jc w:val="both"/>
        <w:rPr>
          <w:rFonts w:ascii="Trebuchet MS" w:hAnsi="Trebuchet MS"/>
        </w:rPr>
      </w:pPr>
      <w:r>
        <w:rPr>
          <w:rFonts w:ascii="Trebuchet MS" w:hAnsi="Trebuchet MS"/>
        </w:rPr>
        <w:t>L’</w:t>
      </w:r>
      <w:r w:rsidRPr="001C27A8">
        <w:rPr>
          <w:rFonts w:ascii="Trebuchet MS" w:hAnsi="Trebuchet MS"/>
        </w:rPr>
        <w:t xml:space="preserve">usage simultané des sources </w:t>
      </w:r>
      <w:r>
        <w:rPr>
          <w:rFonts w:ascii="Trebuchet MS" w:hAnsi="Trebuchet MS"/>
        </w:rPr>
        <w:t>d’énergie</w:t>
      </w:r>
      <w:r w:rsidRPr="001C27A8">
        <w:rPr>
          <w:rFonts w:ascii="Trebuchet MS" w:hAnsi="Trebuchet MS"/>
        </w:rPr>
        <w:t xml:space="preserve"> est de 26,8% en milieu urbain contre 34,7% en milieu rural pour </w:t>
      </w:r>
      <w:r>
        <w:rPr>
          <w:rFonts w:ascii="Trebuchet MS" w:hAnsi="Trebuchet MS"/>
        </w:rPr>
        <w:t>« </w:t>
      </w:r>
      <w:r w:rsidRPr="001C27A8">
        <w:rPr>
          <w:rFonts w:ascii="Trebuchet MS" w:hAnsi="Trebuchet MS"/>
        </w:rPr>
        <w:t>l’électricité charbon, biomasse et bois</w:t>
      </w:r>
      <w:r>
        <w:rPr>
          <w:rFonts w:ascii="Trebuchet MS" w:hAnsi="Trebuchet MS"/>
        </w:rPr>
        <w:t> »,</w:t>
      </w:r>
      <w:r w:rsidRPr="001C27A8">
        <w:rPr>
          <w:rFonts w:ascii="Trebuchet MS" w:hAnsi="Trebuchet MS"/>
        </w:rPr>
        <w:t xml:space="preserve"> 32% en milieu urbain contre 25,7% en milieu rural pour </w:t>
      </w:r>
      <w:r>
        <w:rPr>
          <w:rFonts w:ascii="Trebuchet MS" w:hAnsi="Trebuchet MS"/>
        </w:rPr>
        <w:t>« </w:t>
      </w:r>
      <w:r w:rsidRPr="001C27A8">
        <w:rPr>
          <w:rFonts w:ascii="Trebuchet MS" w:hAnsi="Trebuchet MS"/>
        </w:rPr>
        <w:t>l’électricité, la pile à torche et la batterie</w:t>
      </w:r>
      <w:r>
        <w:rPr>
          <w:rFonts w:ascii="Trebuchet MS" w:hAnsi="Trebuchet MS"/>
        </w:rPr>
        <w:t xml:space="preserve"> », </w:t>
      </w:r>
      <w:r w:rsidRPr="001C27A8">
        <w:rPr>
          <w:rFonts w:ascii="Trebuchet MS" w:hAnsi="Trebuchet MS"/>
        </w:rPr>
        <w:t xml:space="preserve">22,7% en milieu urbain contre 19,8 en milieu rural pour </w:t>
      </w:r>
      <w:r>
        <w:rPr>
          <w:rFonts w:ascii="Trebuchet MS" w:hAnsi="Trebuchet MS"/>
        </w:rPr>
        <w:t>« </w:t>
      </w:r>
      <w:r w:rsidRPr="001C27A8">
        <w:rPr>
          <w:rFonts w:ascii="Trebuchet MS" w:hAnsi="Trebuchet MS"/>
        </w:rPr>
        <w:t>l’électricité et le gaz</w:t>
      </w:r>
      <w:r>
        <w:rPr>
          <w:rFonts w:ascii="Trebuchet MS" w:hAnsi="Trebuchet MS"/>
        </w:rPr>
        <w:t> »</w:t>
      </w:r>
      <w:r w:rsidRPr="001C27A8">
        <w:rPr>
          <w:rFonts w:ascii="Trebuchet MS" w:hAnsi="Trebuchet MS"/>
        </w:rPr>
        <w:t xml:space="preserve">. </w:t>
      </w:r>
    </w:p>
    <w:p w:rsidR="002320E0" w:rsidRPr="001C27A8" w:rsidRDefault="002320E0" w:rsidP="002320E0">
      <w:pPr>
        <w:jc w:val="both"/>
        <w:rPr>
          <w:rFonts w:ascii="Trebuchet MS" w:hAnsi="Trebuchet MS"/>
        </w:rPr>
      </w:pPr>
      <w:r>
        <w:rPr>
          <w:rFonts w:ascii="Trebuchet MS" w:hAnsi="Trebuchet MS"/>
        </w:rPr>
        <w:t xml:space="preserve">L’analyse selon le département révèle que </w:t>
      </w:r>
      <w:r w:rsidRPr="001C27A8">
        <w:rPr>
          <w:rFonts w:ascii="Trebuchet MS" w:hAnsi="Trebuchet MS"/>
        </w:rPr>
        <w:t>trois sources d’énergie sont simultané</w:t>
      </w:r>
      <w:r>
        <w:rPr>
          <w:rFonts w:ascii="Trebuchet MS" w:hAnsi="Trebuchet MS"/>
        </w:rPr>
        <w:t xml:space="preserve">ment </w:t>
      </w:r>
      <w:r w:rsidRPr="001C27A8">
        <w:rPr>
          <w:rFonts w:ascii="Trebuchet MS" w:hAnsi="Trebuchet MS"/>
        </w:rPr>
        <w:t>plus utilisées par les ménages dans la plupart des départements.</w:t>
      </w:r>
    </w:p>
    <w:p w:rsidR="002320E0" w:rsidRPr="008F5C67" w:rsidRDefault="002320E0" w:rsidP="002320E0">
      <w:pPr>
        <w:jc w:val="both"/>
        <w:rPr>
          <w:rFonts w:ascii="Trebuchet MS" w:hAnsi="Trebuchet MS"/>
        </w:rPr>
      </w:pPr>
      <w:r>
        <w:rPr>
          <w:rFonts w:ascii="Trebuchet MS" w:hAnsi="Trebuchet MS"/>
        </w:rPr>
        <w:t xml:space="preserve">Par ailleurs, </w:t>
      </w:r>
      <w:r w:rsidRPr="008F5C67">
        <w:rPr>
          <w:rFonts w:ascii="Trebuchet MS" w:hAnsi="Trebuchet MS"/>
        </w:rPr>
        <w:t>on peut noter que l’usage simultané des différentes sources d’énergie dépend des caractéristiques du logement des ménages. Ainsiles ménages dont les logements ont pour caractéristiques </w:t>
      </w:r>
      <w:r>
        <w:rPr>
          <w:rFonts w:ascii="Trebuchet MS" w:hAnsi="Trebuchet MS"/>
        </w:rPr>
        <w:t>« </w:t>
      </w:r>
      <w:r w:rsidRPr="008F5C67">
        <w:rPr>
          <w:rFonts w:ascii="Trebuchet MS" w:hAnsi="Trebuchet MS"/>
        </w:rPr>
        <w:t>Carreaux + Brique + Tuile</w:t>
      </w:r>
      <w:r>
        <w:rPr>
          <w:rFonts w:ascii="Trebuchet MS" w:hAnsi="Trebuchet MS"/>
        </w:rPr>
        <w:t> » (33,3%)</w:t>
      </w:r>
      <w:r w:rsidRPr="008F5C67">
        <w:rPr>
          <w:rFonts w:ascii="Trebuchet MS" w:hAnsi="Trebuchet MS"/>
        </w:rPr>
        <w:t xml:space="preserve">, </w:t>
      </w:r>
      <w:r>
        <w:rPr>
          <w:rFonts w:ascii="Trebuchet MS" w:hAnsi="Trebuchet MS"/>
        </w:rPr>
        <w:t>« </w:t>
      </w:r>
      <w:r w:rsidRPr="008F5C67">
        <w:rPr>
          <w:rFonts w:ascii="Trebuchet MS" w:hAnsi="Trebuchet MS"/>
        </w:rPr>
        <w:t>Ciment + Brique + Dalle</w:t>
      </w:r>
      <w:r>
        <w:rPr>
          <w:rFonts w:ascii="Trebuchet MS" w:hAnsi="Trebuchet MS"/>
        </w:rPr>
        <w:t> »</w:t>
      </w:r>
      <w:r w:rsidRPr="008F5C67">
        <w:rPr>
          <w:rFonts w:ascii="Trebuchet MS" w:hAnsi="Trebuchet MS"/>
        </w:rPr>
        <w:t xml:space="preserve"> (29,3%)</w:t>
      </w:r>
      <w:r>
        <w:rPr>
          <w:rFonts w:ascii="Trebuchet MS" w:hAnsi="Trebuchet MS"/>
        </w:rPr>
        <w:t xml:space="preserve">, </w:t>
      </w:r>
      <w:r w:rsidRPr="008F5C67">
        <w:rPr>
          <w:rFonts w:ascii="Trebuchet MS" w:hAnsi="Trebuchet MS"/>
        </w:rPr>
        <w:t xml:space="preserve">Ciment + Brique + </w:t>
      </w:r>
      <w:r>
        <w:rPr>
          <w:rFonts w:ascii="Trebuchet MS" w:hAnsi="Trebuchet MS"/>
        </w:rPr>
        <w:t>Tuile »</w:t>
      </w:r>
      <w:r w:rsidRPr="008F5C67">
        <w:rPr>
          <w:rFonts w:ascii="Trebuchet MS" w:hAnsi="Trebuchet MS"/>
        </w:rPr>
        <w:t xml:space="preserve"> (29,</w:t>
      </w:r>
      <w:r>
        <w:rPr>
          <w:rFonts w:ascii="Trebuchet MS" w:hAnsi="Trebuchet MS"/>
        </w:rPr>
        <w:t>2</w:t>
      </w:r>
      <w:r w:rsidRPr="008F5C67">
        <w:rPr>
          <w:rFonts w:ascii="Trebuchet MS" w:hAnsi="Trebuchet MS"/>
        </w:rPr>
        <w:t xml:space="preserve">%) </w:t>
      </w:r>
      <w:r>
        <w:rPr>
          <w:rFonts w:ascii="Trebuchet MS" w:hAnsi="Trebuchet MS"/>
        </w:rPr>
        <w:t>et « T</w:t>
      </w:r>
      <w:r w:rsidRPr="008F5C67">
        <w:rPr>
          <w:rFonts w:ascii="Trebuchet MS" w:hAnsi="Trebuchet MS"/>
        </w:rPr>
        <w:t xml:space="preserve">erre/sable + </w:t>
      </w:r>
      <w:r>
        <w:rPr>
          <w:rFonts w:ascii="Trebuchet MS" w:hAnsi="Trebuchet MS"/>
        </w:rPr>
        <w:t>T</w:t>
      </w:r>
      <w:r w:rsidRPr="008F5C67">
        <w:rPr>
          <w:rFonts w:ascii="Trebuchet MS" w:hAnsi="Trebuchet MS"/>
        </w:rPr>
        <w:t xml:space="preserve">erre + </w:t>
      </w:r>
      <w:r>
        <w:rPr>
          <w:rFonts w:ascii="Trebuchet MS" w:hAnsi="Trebuchet MS"/>
        </w:rPr>
        <w:t>P</w:t>
      </w:r>
      <w:r w:rsidRPr="008F5C67">
        <w:rPr>
          <w:rFonts w:ascii="Trebuchet MS" w:hAnsi="Trebuchet MS"/>
        </w:rPr>
        <w:t>aille</w:t>
      </w:r>
      <w:r>
        <w:rPr>
          <w:rFonts w:ascii="Trebuchet MS" w:hAnsi="Trebuchet MS"/>
        </w:rPr>
        <w:t> »</w:t>
      </w:r>
      <w:r w:rsidRPr="008F5C67">
        <w:rPr>
          <w:rFonts w:ascii="Trebuchet MS" w:hAnsi="Trebuchet MS"/>
        </w:rPr>
        <w:t xml:space="preserve"> (25</w:t>
      </w:r>
      <w:r>
        <w:rPr>
          <w:rFonts w:ascii="Trebuchet MS" w:hAnsi="Trebuchet MS"/>
        </w:rPr>
        <w:t>,0</w:t>
      </w:r>
      <w:r w:rsidRPr="008F5C67">
        <w:rPr>
          <w:rFonts w:ascii="Trebuchet MS" w:hAnsi="Trebuchet MS"/>
        </w:rPr>
        <w:t xml:space="preserve">%) utilisent plus les sources simultanées d’énergie. </w:t>
      </w:r>
      <w:r>
        <w:rPr>
          <w:rFonts w:ascii="Trebuchet MS" w:hAnsi="Trebuchet MS"/>
        </w:rPr>
        <w:t>Les ménages vivant dans c</w:t>
      </w:r>
      <w:r w:rsidRPr="008F5C67">
        <w:rPr>
          <w:rFonts w:ascii="Trebuchet MS" w:hAnsi="Trebuchet MS"/>
        </w:rPr>
        <w:t xml:space="preserve">es </w:t>
      </w:r>
      <w:r>
        <w:rPr>
          <w:rFonts w:ascii="Trebuchet MS" w:hAnsi="Trebuchet MS"/>
        </w:rPr>
        <w:t>logements</w:t>
      </w:r>
      <w:r w:rsidRPr="008F5C67">
        <w:rPr>
          <w:rFonts w:ascii="Trebuchet MS" w:hAnsi="Trebuchet MS"/>
        </w:rPr>
        <w:t xml:space="preserve"> utilisent majorité simultanément </w:t>
      </w:r>
      <w:r>
        <w:rPr>
          <w:rFonts w:ascii="Trebuchet MS" w:hAnsi="Trebuchet MS"/>
        </w:rPr>
        <w:t xml:space="preserve"> « </w:t>
      </w:r>
      <w:r w:rsidRPr="008F5C67">
        <w:rPr>
          <w:rFonts w:ascii="Trebuchet MS" w:hAnsi="Trebuchet MS"/>
        </w:rPr>
        <w:t>électricité, pile à torche et batterie</w:t>
      </w:r>
      <w:r>
        <w:rPr>
          <w:rFonts w:ascii="Trebuchet MS" w:hAnsi="Trebuchet MS"/>
        </w:rPr>
        <w:t> », « </w:t>
      </w:r>
      <w:r w:rsidRPr="008F5C67">
        <w:rPr>
          <w:rFonts w:ascii="Trebuchet MS" w:hAnsi="Trebuchet MS"/>
        </w:rPr>
        <w:t>électr</w:t>
      </w:r>
      <w:r>
        <w:rPr>
          <w:rFonts w:ascii="Trebuchet MS" w:hAnsi="Trebuchet MS"/>
        </w:rPr>
        <w:t>icité charbon</w:t>
      </w:r>
      <w:r w:rsidRPr="008F5C67">
        <w:rPr>
          <w:rFonts w:ascii="Trebuchet MS" w:hAnsi="Trebuchet MS"/>
        </w:rPr>
        <w:t>, biomasse et bois</w:t>
      </w:r>
      <w:r>
        <w:rPr>
          <w:rFonts w:ascii="Trebuchet MS" w:hAnsi="Trebuchet MS"/>
        </w:rPr>
        <w:t> »</w:t>
      </w:r>
      <w:r w:rsidRPr="008F5C67">
        <w:rPr>
          <w:rFonts w:ascii="Trebuchet MS" w:hAnsi="Trebuchet MS"/>
        </w:rPr>
        <w:t xml:space="preserve"> et </w:t>
      </w:r>
      <w:r>
        <w:rPr>
          <w:rFonts w:ascii="Trebuchet MS" w:hAnsi="Trebuchet MS"/>
        </w:rPr>
        <w:t>« </w:t>
      </w:r>
      <w:r w:rsidRPr="008F5C67">
        <w:rPr>
          <w:rFonts w:ascii="Trebuchet MS" w:hAnsi="Trebuchet MS"/>
        </w:rPr>
        <w:t>électricité et la bougie</w:t>
      </w:r>
      <w:r>
        <w:rPr>
          <w:rFonts w:ascii="Trebuchet MS" w:hAnsi="Trebuchet MS"/>
        </w:rPr>
        <w:t>»</w:t>
      </w:r>
      <w:r w:rsidRPr="008F5C67">
        <w:rPr>
          <w:rFonts w:ascii="Trebuchet MS" w:hAnsi="Trebuchet MS"/>
        </w:rPr>
        <w:t>.</w:t>
      </w:r>
    </w:p>
    <w:p w:rsidR="002320E0" w:rsidRPr="00812864" w:rsidRDefault="002320E0" w:rsidP="002320E0">
      <w:pPr>
        <w:jc w:val="both"/>
        <w:rPr>
          <w:rFonts w:ascii="Times New Roman" w:hAnsi="Times New Roman"/>
          <w:sz w:val="24"/>
          <w:szCs w:val="24"/>
        </w:rPr>
      </w:pPr>
    </w:p>
    <w:p w:rsidR="002320E0" w:rsidRPr="00DB6C43" w:rsidRDefault="002320E0" w:rsidP="00DB6C43">
      <w:pPr>
        <w:jc w:val="both"/>
        <w:rPr>
          <w:rFonts w:ascii="Times New Roman" w:hAnsi="Times New Roman"/>
          <w:sz w:val="24"/>
          <w:szCs w:val="24"/>
        </w:rPr>
      </w:pPr>
    </w:p>
    <w:p w:rsidR="002320E0" w:rsidRPr="00DB6C43" w:rsidRDefault="002320E0" w:rsidP="00DB6C43">
      <w:pPr>
        <w:jc w:val="both"/>
        <w:rPr>
          <w:rFonts w:ascii="Times New Roman" w:hAnsi="Times New Roman"/>
          <w:sz w:val="24"/>
          <w:szCs w:val="24"/>
        </w:rPr>
        <w:sectPr w:rsidR="002320E0" w:rsidRPr="00DB6C43" w:rsidSect="00FF1C88">
          <w:pgSz w:w="11906" w:h="16838"/>
          <w:pgMar w:top="1843" w:right="1417" w:bottom="851" w:left="1417" w:header="708" w:footer="0" w:gutter="0"/>
          <w:cols w:space="708"/>
          <w:docGrid w:linePitch="360"/>
        </w:sectPr>
      </w:pPr>
    </w:p>
    <w:p w:rsidR="00714C3B" w:rsidRPr="00714C3B" w:rsidRDefault="00714C3B" w:rsidP="006E7EB4">
      <w:pPr>
        <w:keepNext/>
        <w:spacing w:after="0" w:line="240" w:lineRule="auto"/>
        <w:rPr>
          <w:b/>
        </w:rPr>
      </w:pPr>
      <w:bookmarkStart w:id="149" w:name="_Toc426359338"/>
      <w:r w:rsidRPr="00714C3B">
        <w:rPr>
          <w:rFonts w:ascii="Trebuchet MS" w:hAnsi="Trebuchet MS"/>
          <w:b/>
          <w:sz w:val="20"/>
        </w:rPr>
        <w:t xml:space="preserve">Tableau </w:t>
      </w:r>
      <w:r w:rsidR="00792500" w:rsidRPr="00714C3B">
        <w:rPr>
          <w:rFonts w:ascii="Trebuchet MS" w:hAnsi="Trebuchet MS"/>
          <w:b/>
          <w:sz w:val="20"/>
        </w:rPr>
        <w:fldChar w:fldCharType="begin"/>
      </w:r>
      <w:r w:rsidRPr="00714C3B">
        <w:rPr>
          <w:rFonts w:ascii="Trebuchet MS" w:hAnsi="Trebuchet MS"/>
          <w:b/>
          <w:sz w:val="20"/>
        </w:rPr>
        <w:instrText xml:space="preserve"> SEQ Tableau \* ARABIC </w:instrText>
      </w:r>
      <w:r w:rsidR="00792500" w:rsidRPr="00714C3B">
        <w:rPr>
          <w:rFonts w:ascii="Trebuchet MS" w:hAnsi="Trebuchet MS"/>
          <w:b/>
          <w:sz w:val="20"/>
        </w:rPr>
        <w:fldChar w:fldCharType="separate"/>
      </w:r>
      <w:r w:rsidR="00556962">
        <w:rPr>
          <w:rFonts w:ascii="Trebuchet MS" w:hAnsi="Trebuchet MS"/>
          <w:b/>
          <w:noProof/>
          <w:sz w:val="20"/>
        </w:rPr>
        <w:t>19</w:t>
      </w:r>
      <w:r w:rsidR="00792500" w:rsidRPr="00714C3B">
        <w:rPr>
          <w:rFonts w:ascii="Trebuchet MS" w:hAnsi="Trebuchet MS"/>
          <w:b/>
          <w:sz w:val="20"/>
        </w:rPr>
        <w:fldChar w:fldCharType="end"/>
      </w:r>
      <w:r w:rsidRPr="00714C3B">
        <w:rPr>
          <w:rFonts w:ascii="Trebuchet MS" w:hAnsi="Trebuchet MS"/>
          <w:b/>
          <w:sz w:val="20"/>
        </w:rPr>
        <w:t xml:space="preserve"> : Pourcentage de ménages suivant les différentes sources d’énergie utilisées simultanément avec l’électricité par sexe et niveau d’instruction du chef de ménage et par milieu de résidence</w:t>
      </w:r>
      <w:bookmarkEnd w:id="149"/>
    </w:p>
    <w:tbl>
      <w:tblPr>
        <w:tblW w:w="5118" w:type="pct"/>
        <w:tblInd w:w="21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667"/>
        <w:gridCol w:w="1142"/>
        <w:gridCol w:w="1141"/>
        <w:gridCol w:w="981"/>
        <w:gridCol w:w="987"/>
        <w:gridCol w:w="1120"/>
        <w:gridCol w:w="981"/>
        <w:gridCol w:w="981"/>
        <w:gridCol w:w="984"/>
        <w:gridCol w:w="1123"/>
        <w:gridCol w:w="1115"/>
        <w:gridCol w:w="1254"/>
      </w:tblGrid>
      <w:tr w:rsidR="002320E0" w:rsidRPr="00714C3B" w:rsidTr="00714C3B">
        <w:trPr>
          <w:trHeight w:val="300"/>
          <w:tblHeader/>
        </w:trPr>
        <w:tc>
          <w:tcPr>
            <w:tcW w:w="921" w:type="pct"/>
            <w:vMerge w:val="restart"/>
            <w:shd w:val="clear" w:color="auto" w:fill="auto"/>
            <w:noWrap/>
            <w:vAlign w:val="bottom"/>
            <w:hideMark/>
          </w:tcPr>
          <w:p w:rsidR="002320E0" w:rsidRPr="00714C3B" w:rsidRDefault="002320E0" w:rsidP="006E7EB4">
            <w:pPr>
              <w:keepNext/>
              <w:spacing w:after="0" w:line="240" w:lineRule="auto"/>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 </w:t>
            </w:r>
          </w:p>
          <w:p w:rsidR="002320E0" w:rsidRPr="00714C3B" w:rsidRDefault="002320E0" w:rsidP="006E7EB4">
            <w:pPr>
              <w:keepNext/>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 </w:t>
            </w:r>
          </w:p>
        </w:tc>
        <w:tc>
          <w:tcPr>
            <w:tcW w:w="394" w:type="pct"/>
            <w:vMerge w:val="restart"/>
            <w:shd w:val="clear" w:color="auto" w:fill="auto"/>
            <w:noWrap/>
            <w:vAlign w:val="bottom"/>
            <w:hideMark/>
          </w:tcPr>
          <w:p w:rsidR="002320E0" w:rsidRPr="00714C3B" w:rsidRDefault="002320E0" w:rsidP="003379F0">
            <w:pPr>
              <w:keepNext/>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Utilisation simultanée de sources d'énergie</w:t>
            </w:r>
          </w:p>
        </w:tc>
        <w:tc>
          <w:tcPr>
            <w:tcW w:w="3252" w:type="pct"/>
            <w:gridSpan w:val="9"/>
            <w:tcBorders>
              <w:top w:val="double" w:sz="4" w:space="0" w:color="auto"/>
              <w:bottom w:val="single" w:sz="4" w:space="0" w:color="auto"/>
            </w:tcBorders>
            <w:shd w:val="clear" w:color="auto" w:fill="auto"/>
            <w:noWrap/>
            <w:vAlign w:val="center"/>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Pourcentage de ménages faisant usage simultané</w:t>
            </w:r>
          </w:p>
        </w:tc>
        <w:tc>
          <w:tcPr>
            <w:tcW w:w="433" w:type="pct"/>
            <w:vMerge w:val="restart"/>
            <w:shd w:val="clear" w:color="auto" w:fill="auto"/>
            <w:vAlign w:val="bottom"/>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Effectif de ménages utilisant l'électricité</w:t>
            </w:r>
          </w:p>
        </w:tc>
      </w:tr>
      <w:tr w:rsidR="002320E0" w:rsidRPr="00714C3B" w:rsidTr="00714C3B">
        <w:trPr>
          <w:trHeight w:val="953"/>
          <w:tblHeader/>
        </w:trPr>
        <w:tc>
          <w:tcPr>
            <w:tcW w:w="921" w:type="pct"/>
            <w:vMerge/>
            <w:tcBorders>
              <w:bottom w:val="single" w:sz="4" w:space="0" w:color="auto"/>
            </w:tcBorders>
            <w:shd w:val="clear" w:color="auto" w:fill="auto"/>
            <w:noWrap/>
            <w:vAlign w:val="bottom"/>
            <w:hideMark/>
          </w:tcPr>
          <w:p w:rsidR="002320E0" w:rsidRPr="00714C3B" w:rsidRDefault="002320E0" w:rsidP="006E7EB4">
            <w:pPr>
              <w:keepNext/>
              <w:spacing w:after="0" w:line="240" w:lineRule="auto"/>
              <w:rPr>
                <w:rFonts w:ascii="Trebuchet MS" w:eastAsia="Times New Roman" w:hAnsi="Trebuchet MS"/>
                <w:color w:val="000000"/>
                <w:sz w:val="20"/>
                <w:szCs w:val="20"/>
                <w:lang w:eastAsia="fr-FR"/>
              </w:rPr>
            </w:pPr>
          </w:p>
        </w:tc>
        <w:tc>
          <w:tcPr>
            <w:tcW w:w="394" w:type="pct"/>
            <w:vMerge/>
            <w:tcBorders>
              <w:bottom w:val="single" w:sz="4" w:space="0" w:color="auto"/>
            </w:tcBorders>
            <w:shd w:val="clear" w:color="auto" w:fill="auto"/>
            <w:noWrap/>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p>
        </w:tc>
        <w:tc>
          <w:tcPr>
            <w:tcW w:w="394"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générateur</w:t>
            </w:r>
          </w:p>
        </w:tc>
        <w:tc>
          <w:tcPr>
            <w:tcW w:w="339"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pétrole</w:t>
            </w:r>
          </w:p>
        </w:tc>
        <w:tc>
          <w:tcPr>
            <w:tcW w:w="341"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énergie solaire</w:t>
            </w:r>
          </w:p>
        </w:tc>
        <w:tc>
          <w:tcPr>
            <w:tcW w:w="387"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charbon, biomasse et bois</w:t>
            </w:r>
          </w:p>
        </w:tc>
        <w:tc>
          <w:tcPr>
            <w:tcW w:w="339"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pile à torche et batterie</w:t>
            </w:r>
          </w:p>
        </w:tc>
        <w:tc>
          <w:tcPr>
            <w:tcW w:w="339"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gaz</w:t>
            </w:r>
          </w:p>
        </w:tc>
        <w:tc>
          <w:tcPr>
            <w:tcW w:w="340"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bougie</w:t>
            </w:r>
          </w:p>
        </w:tc>
        <w:tc>
          <w:tcPr>
            <w:tcW w:w="388"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Electricité et autres sources d'énergie</w:t>
            </w:r>
          </w:p>
        </w:tc>
        <w:tc>
          <w:tcPr>
            <w:tcW w:w="385" w:type="pct"/>
            <w:tcBorders>
              <w:top w:val="single" w:sz="4" w:space="0" w:color="auto"/>
              <w:bottom w:val="single" w:sz="4" w:space="0" w:color="auto"/>
            </w:tcBorders>
            <w:shd w:val="clear" w:color="auto" w:fill="auto"/>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Ligne directe et toile d'araignée</w:t>
            </w:r>
          </w:p>
        </w:tc>
        <w:tc>
          <w:tcPr>
            <w:tcW w:w="433" w:type="pct"/>
            <w:vMerge/>
            <w:tcBorders>
              <w:bottom w:val="single" w:sz="4" w:space="0" w:color="auto"/>
            </w:tcBorders>
            <w:shd w:val="clear" w:color="auto" w:fill="auto"/>
            <w:vAlign w:val="center"/>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p>
        </w:tc>
      </w:tr>
      <w:tr w:rsidR="002320E0" w:rsidRPr="00714C3B" w:rsidTr="00714C3B">
        <w:trPr>
          <w:trHeight w:val="300"/>
        </w:trPr>
        <w:tc>
          <w:tcPr>
            <w:tcW w:w="921" w:type="pct"/>
            <w:tcBorders>
              <w:top w:val="single" w:sz="4" w:space="0" w:color="auto"/>
              <w:bottom w:val="nil"/>
            </w:tcBorders>
            <w:shd w:val="clear" w:color="auto" w:fill="auto"/>
            <w:noWrap/>
            <w:vAlign w:val="bottom"/>
            <w:hideMark/>
          </w:tcPr>
          <w:p w:rsidR="002320E0" w:rsidRPr="00463117" w:rsidRDefault="002320E0" w:rsidP="006E7EB4">
            <w:pPr>
              <w:keepNext/>
              <w:spacing w:after="0" w:line="240" w:lineRule="auto"/>
              <w:rPr>
                <w:rFonts w:ascii="Trebuchet MS" w:eastAsia="Times New Roman" w:hAnsi="Trebuchet MS"/>
                <w:b/>
                <w:color w:val="000000"/>
                <w:lang w:eastAsia="fr-FR"/>
              </w:rPr>
            </w:pPr>
            <w:r w:rsidRPr="00463117">
              <w:rPr>
                <w:rFonts w:ascii="Trebuchet MS" w:eastAsia="Times New Roman" w:hAnsi="Trebuchet MS"/>
                <w:b/>
                <w:color w:val="000000"/>
                <w:lang w:eastAsia="fr-FR"/>
              </w:rPr>
              <w:t>Sexe du CM</w:t>
            </w:r>
          </w:p>
        </w:tc>
        <w:tc>
          <w:tcPr>
            <w:tcW w:w="394"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94"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1"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0"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8"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5"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3"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2320E0" w:rsidRPr="00714C3B" w:rsidTr="00714C3B">
        <w:trPr>
          <w:trHeight w:val="300"/>
        </w:trPr>
        <w:tc>
          <w:tcPr>
            <w:tcW w:w="921" w:type="pct"/>
            <w:tcBorders>
              <w:top w:val="nil"/>
            </w:tcBorders>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Masculin</w:t>
            </w:r>
          </w:p>
        </w:tc>
        <w:tc>
          <w:tcPr>
            <w:tcW w:w="394"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21,8</w:t>
            </w:r>
          </w:p>
        </w:tc>
        <w:tc>
          <w:tcPr>
            <w:tcW w:w="394"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0,9</w:t>
            </w:r>
          </w:p>
        </w:tc>
        <w:tc>
          <w:tcPr>
            <w:tcW w:w="339"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w:t>
            </w:r>
          </w:p>
        </w:tc>
        <w:tc>
          <w:tcPr>
            <w:tcW w:w="341"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0,9</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28,5</w:t>
            </w:r>
          </w:p>
        </w:tc>
        <w:tc>
          <w:tcPr>
            <w:tcW w:w="339"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31,1</w:t>
            </w:r>
          </w:p>
        </w:tc>
        <w:tc>
          <w:tcPr>
            <w:tcW w:w="339"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8,3</w:t>
            </w:r>
          </w:p>
        </w:tc>
        <w:tc>
          <w:tcPr>
            <w:tcW w:w="340"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22,4</w:t>
            </w:r>
          </w:p>
        </w:tc>
        <w:tc>
          <w:tcPr>
            <w:tcW w:w="388"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85"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w:t>
            </w:r>
          </w:p>
        </w:tc>
        <w:tc>
          <w:tcPr>
            <w:tcW w:w="433"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1045</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Féminin</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23,9</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4,5</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32,8</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25,4</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11,9</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19,4</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1,5</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4,5</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280</w:t>
            </w:r>
          </w:p>
        </w:tc>
      </w:tr>
      <w:tr w:rsidR="002320E0" w:rsidRPr="00714C3B" w:rsidTr="00714C3B">
        <w:trPr>
          <w:trHeight w:val="300"/>
        </w:trPr>
        <w:tc>
          <w:tcPr>
            <w:tcW w:w="921" w:type="pct"/>
            <w:shd w:val="clear" w:color="auto" w:fill="auto"/>
            <w:noWrap/>
            <w:vAlign w:val="bottom"/>
            <w:hideMark/>
          </w:tcPr>
          <w:p w:rsidR="002320E0" w:rsidRPr="00463117" w:rsidRDefault="002320E0" w:rsidP="006E7EB4">
            <w:pPr>
              <w:keepNext/>
              <w:spacing w:after="0" w:line="240" w:lineRule="auto"/>
              <w:rPr>
                <w:rFonts w:ascii="Trebuchet MS" w:eastAsia="Times New Roman" w:hAnsi="Trebuchet MS"/>
                <w:b/>
                <w:color w:val="000000"/>
                <w:szCs w:val="20"/>
                <w:lang w:eastAsia="fr-FR"/>
              </w:rPr>
            </w:pPr>
            <w:r w:rsidRPr="00463117">
              <w:rPr>
                <w:rFonts w:ascii="Trebuchet MS" w:eastAsia="Times New Roman" w:hAnsi="Trebuchet MS"/>
                <w:b/>
                <w:color w:val="000000"/>
                <w:szCs w:val="20"/>
                <w:lang w:eastAsia="fr-FR"/>
              </w:rPr>
              <w:t>Niveau d'</w:t>
            </w:r>
            <w:r w:rsidR="00463117" w:rsidRPr="00463117">
              <w:rPr>
                <w:rFonts w:ascii="Trebuchet MS" w:eastAsia="Times New Roman" w:hAnsi="Trebuchet MS"/>
                <w:b/>
                <w:color w:val="000000"/>
                <w:szCs w:val="20"/>
                <w:lang w:eastAsia="fr-FR"/>
              </w:rPr>
              <w:t>instruction</w:t>
            </w:r>
            <w:r w:rsidRPr="00463117">
              <w:rPr>
                <w:rFonts w:ascii="Trebuchet MS" w:eastAsia="Times New Roman" w:hAnsi="Trebuchet MS"/>
                <w:b/>
                <w:color w:val="000000"/>
                <w:szCs w:val="20"/>
                <w:lang w:eastAsia="fr-FR"/>
              </w:rPr>
              <w:t xml:space="preserve"> du CM</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Maternelle</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25,9</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14,3</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42,9</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14,3</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28,6</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Primaire</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22,4</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1,2</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40,2</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23,2</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8,5</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19,5</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4,9</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366</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Secondaire1</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24,3</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38,3</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5,0</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247</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Secondaire2</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20,7</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18,9</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29,7</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10,8</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32,4</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179</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Supérieur</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23,7</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15,6</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24,4</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24,4</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26,7</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190</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Aucun</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19,7</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5,4</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37,5</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33,9</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16,1</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284</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Autre</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27,3</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11</w:t>
            </w: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NSP</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23,8</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60,0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20,0</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w:t>
            </w:r>
          </w:p>
        </w:tc>
      </w:tr>
      <w:tr w:rsidR="002320E0" w:rsidRPr="00714C3B" w:rsidTr="00714C3B">
        <w:trPr>
          <w:trHeight w:val="300"/>
        </w:trPr>
        <w:tc>
          <w:tcPr>
            <w:tcW w:w="921" w:type="pct"/>
            <w:shd w:val="clear" w:color="auto" w:fill="auto"/>
            <w:noWrap/>
            <w:vAlign w:val="bottom"/>
            <w:hideMark/>
          </w:tcPr>
          <w:p w:rsidR="002320E0" w:rsidRPr="00463117" w:rsidRDefault="002320E0" w:rsidP="006E7EB4">
            <w:pPr>
              <w:keepNext/>
              <w:spacing w:after="0" w:line="240" w:lineRule="auto"/>
              <w:rPr>
                <w:rFonts w:ascii="Trebuchet MS" w:eastAsia="Times New Roman" w:hAnsi="Trebuchet MS"/>
                <w:b/>
                <w:color w:val="000000"/>
                <w:lang w:eastAsia="fr-FR"/>
              </w:rPr>
            </w:pPr>
            <w:r w:rsidRPr="00463117">
              <w:rPr>
                <w:rFonts w:ascii="Trebuchet MS" w:eastAsia="Times New Roman" w:hAnsi="Trebuchet MS"/>
                <w:b/>
                <w:color w:val="000000"/>
                <w:lang w:eastAsia="fr-FR"/>
              </w:rPr>
              <w:t>Milieu de résidence</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2320E0" w:rsidRPr="00714C3B" w:rsidTr="00714C3B">
        <w:trPr>
          <w:trHeight w:val="300"/>
        </w:trPr>
        <w:tc>
          <w:tcPr>
            <w:tcW w:w="921" w:type="pct"/>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Urbain</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22,6</w:t>
            </w:r>
          </w:p>
        </w:tc>
        <w:tc>
          <w:tcPr>
            <w:tcW w:w="39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w:t>
            </w:r>
          </w:p>
        </w:tc>
        <w:tc>
          <w:tcPr>
            <w:tcW w:w="341"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26,8</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32,0</w:t>
            </w:r>
          </w:p>
        </w:tc>
        <w:tc>
          <w:tcPr>
            <w:tcW w:w="339"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12,4</w:t>
            </w:r>
          </w:p>
        </w:tc>
        <w:tc>
          <w:tcPr>
            <w:tcW w:w="34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22,7</w:t>
            </w:r>
          </w:p>
        </w:tc>
        <w:tc>
          <w:tcPr>
            <w:tcW w:w="388"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38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1,6</w:t>
            </w:r>
          </w:p>
        </w:tc>
        <w:tc>
          <w:tcPr>
            <w:tcW w:w="433"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860</w:t>
            </w:r>
          </w:p>
        </w:tc>
      </w:tr>
      <w:tr w:rsidR="002320E0" w:rsidRPr="00714C3B" w:rsidTr="00714C3B">
        <w:trPr>
          <w:trHeight w:val="300"/>
        </w:trPr>
        <w:tc>
          <w:tcPr>
            <w:tcW w:w="921" w:type="pct"/>
            <w:tcBorders>
              <w:bottom w:val="single" w:sz="4" w:space="0" w:color="auto"/>
            </w:tcBorders>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 xml:space="preserve">    Rural</w:t>
            </w:r>
          </w:p>
        </w:tc>
        <w:tc>
          <w:tcPr>
            <w:tcW w:w="394"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94"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39"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5,0</w:t>
            </w:r>
          </w:p>
        </w:tc>
        <w:tc>
          <w:tcPr>
            <w:tcW w:w="341"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34,7</w:t>
            </w:r>
          </w:p>
        </w:tc>
        <w:tc>
          <w:tcPr>
            <w:tcW w:w="339"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25,7</w:t>
            </w:r>
          </w:p>
        </w:tc>
        <w:tc>
          <w:tcPr>
            <w:tcW w:w="339"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3,0</w:t>
            </w:r>
          </w:p>
        </w:tc>
        <w:tc>
          <w:tcPr>
            <w:tcW w:w="340"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19,8</w:t>
            </w:r>
          </w:p>
        </w:tc>
        <w:tc>
          <w:tcPr>
            <w:tcW w:w="388"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4,0</w:t>
            </w:r>
          </w:p>
        </w:tc>
        <w:tc>
          <w:tcPr>
            <w:tcW w:w="385"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6,9</w:t>
            </w:r>
          </w:p>
        </w:tc>
        <w:tc>
          <w:tcPr>
            <w:tcW w:w="433"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465</w:t>
            </w:r>
          </w:p>
        </w:tc>
      </w:tr>
      <w:tr w:rsidR="002320E0" w:rsidRPr="00714C3B" w:rsidTr="00714C3B">
        <w:trPr>
          <w:trHeight w:val="300"/>
        </w:trPr>
        <w:tc>
          <w:tcPr>
            <w:tcW w:w="921" w:type="pct"/>
            <w:tcBorders>
              <w:top w:val="single" w:sz="4" w:space="0" w:color="auto"/>
              <w:bottom w:val="double" w:sz="4" w:space="0" w:color="auto"/>
            </w:tcBorders>
            <w:shd w:val="clear" w:color="auto" w:fill="auto"/>
            <w:noWrap/>
            <w:vAlign w:val="bottom"/>
            <w:hideMark/>
          </w:tcPr>
          <w:p w:rsidR="002320E0" w:rsidRPr="00714C3B" w:rsidRDefault="002320E0" w:rsidP="006E7EB4">
            <w:pPr>
              <w:keepNext/>
              <w:spacing w:after="0" w:line="240" w:lineRule="auto"/>
              <w:ind w:firstLineChars="100" w:firstLine="220"/>
              <w:rPr>
                <w:rFonts w:ascii="Trebuchet MS" w:eastAsia="Times New Roman" w:hAnsi="Trebuchet MS"/>
                <w:color w:val="000000"/>
                <w:lang w:eastAsia="fr-FR"/>
              </w:rPr>
            </w:pPr>
            <w:r w:rsidRPr="00714C3B">
              <w:rPr>
                <w:rFonts w:ascii="Trebuchet MS" w:eastAsia="Times New Roman" w:hAnsi="Trebuchet MS"/>
                <w:color w:val="000000"/>
                <w:lang w:eastAsia="fr-FR"/>
              </w:rPr>
              <w:t>Ensemble</w:t>
            </w:r>
          </w:p>
        </w:tc>
        <w:tc>
          <w:tcPr>
            <w:tcW w:w="394"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22,3</w:t>
            </w:r>
          </w:p>
        </w:tc>
        <w:tc>
          <w:tcPr>
            <w:tcW w:w="394"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0,7</w:t>
            </w:r>
          </w:p>
        </w:tc>
        <w:tc>
          <w:tcPr>
            <w:tcW w:w="339"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w:t>
            </w:r>
          </w:p>
        </w:tc>
        <w:tc>
          <w:tcPr>
            <w:tcW w:w="341"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0,7</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29,5</w:t>
            </w:r>
          </w:p>
        </w:tc>
        <w:tc>
          <w:tcPr>
            <w:tcW w:w="339"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29,8</w:t>
            </w:r>
          </w:p>
        </w:tc>
        <w:tc>
          <w:tcPr>
            <w:tcW w:w="339"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9,2</w:t>
            </w:r>
          </w:p>
        </w:tc>
        <w:tc>
          <w:tcPr>
            <w:tcW w:w="340"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88"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w:t>
            </w:r>
          </w:p>
        </w:tc>
        <w:tc>
          <w:tcPr>
            <w:tcW w:w="385"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3,4</w:t>
            </w:r>
          </w:p>
        </w:tc>
        <w:tc>
          <w:tcPr>
            <w:tcW w:w="433"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1325</w:t>
            </w:r>
          </w:p>
        </w:tc>
      </w:tr>
      <w:tr w:rsidR="002320E0" w:rsidRPr="00714C3B" w:rsidTr="00714C3B">
        <w:trPr>
          <w:trHeight w:val="304"/>
        </w:trPr>
        <w:tc>
          <w:tcPr>
            <w:tcW w:w="5000" w:type="pct"/>
            <w:gridSpan w:val="12"/>
            <w:tcBorders>
              <w:top w:val="double" w:sz="4" w:space="0" w:color="auto"/>
              <w:bottom w:val="nil"/>
            </w:tcBorders>
            <w:shd w:val="clear" w:color="auto" w:fill="auto"/>
            <w:noWrap/>
            <w:vAlign w:val="bottom"/>
            <w:hideMark/>
          </w:tcPr>
          <w:p w:rsidR="002320E0" w:rsidRPr="00463117" w:rsidRDefault="002320E0" w:rsidP="006E7EB4">
            <w:pPr>
              <w:keepNext/>
              <w:spacing w:after="0" w:line="240" w:lineRule="auto"/>
              <w:rPr>
                <w:rFonts w:ascii="Trebuchet MS" w:eastAsia="Times New Roman" w:hAnsi="Trebuchet MS"/>
                <w:b/>
                <w:color w:val="000000"/>
                <w:sz w:val="20"/>
                <w:lang w:eastAsia="fr-FR"/>
              </w:rPr>
            </w:pPr>
            <w:r w:rsidRPr="00463117">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 w:rsidR="002320E0" w:rsidRDefault="002320E0" w:rsidP="002320E0"/>
    <w:p w:rsidR="002320E0" w:rsidRDefault="002320E0" w:rsidP="002320E0"/>
    <w:p w:rsidR="00C262DB" w:rsidRPr="00C262DB" w:rsidRDefault="00C262DB" w:rsidP="005B705F">
      <w:pPr>
        <w:keepNext/>
        <w:spacing w:after="0"/>
        <w:rPr>
          <w:b/>
        </w:rPr>
      </w:pPr>
      <w:bookmarkStart w:id="150" w:name="_Toc426359339"/>
      <w:r w:rsidRPr="00C262DB">
        <w:rPr>
          <w:rFonts w:ascii="Trebuchet MS" w:hAnsi="Trebuchet MS"/>
          <w:b/>
          <w:sz w:val="20"/>
        </w:rPr>
        <w:t xml:space="preserve">Tableau </w:t>
      </w:r>
      <w:r w:rsidR="00792500" w:rsidRPr="00C262DB">
        <w:rPr>
          <w:rFonts w:ascii="Trebuchet MS" w:hAnsi="Trebuchet MS"/>
          <w:b/>
          <w:sz w:val="20"/>
        </w:rPr>
        <w:fldChar w:fldCharType="begin"/>
      </w:r>
      <w:r w:rsidRPr="00C262DB">
        <w:rPr>
          <w:rFonts w:ascii="Trebuchet MS" w:hAnsi="Trebuchet MS"/>
          <w:b/>
          <w:sz w:val="20"/>
        </w:rPr>
        <w:instrText xml:space="preserve"> SEQ Tableau \* ARABIC </w:instrText>
      </w:r>
      <w:r w:rsidR="00792500" w:rsidRPr="00C262DB">
        <w:rPr>
          <w:rFonts w:ascii="Trebuchet MS" w:hAnsi="Trebuchet MS"/>
          <w:b/>
          <w:sz w:val="20"/>
        </w:rPr>
        <w:fldChar w:fldCharType="separate"/>
      </w:r>
      <w:r w:rsidR="00556962">
        <w:rPr>
          <w:rFonts w:ascii="Trebuchet MS" w:hAnsi="Trebuchet MS"/>
          <w:b/>
          <w:noProof/>
          <w:sz w:val="20"/>
        </w:rPr>
        <w:t>20</w:t>
      </w:r>
      <w:r w:rsidR="00792500" w:rsidRPr="00C262DB">
        <w:rPr>
          <w:rFonts w:ascii="Trebuchet MS" w:hAnsi="Trebuchet MS"/>
          <w:b/>
          <w:sz w:val="20"/>
        </w:rPr>
        <w:fldChar w:fldCharType="end"/>
      </w:r>
      <w:r w:rsidRPr="00C262DB">
        <w:rPr>
          <w:rFonts w:ascii="Trebuchet MS" w:hAnsi="Trebuchet MS"/>
          <w:b/>
          <w:sz w:val="20"/>
        </w:rPr>
        <w:t xml:space="preserve"> : Pourcentage de ménages suivant les différentes sources d’énergie utilisées simultanément avec l’électricité par département</w:t>
      </w:r>
      <w:bookmarkEnd w:id="150"/>
      <w:r w:rsidR="00305FB6">
        <w:rPr>
          <w:rFonts w:ascii="Trebuchet MS" w:hAnsi="Trebuchet MS"/>
          <w:b/>
          <w:sz w:val="20"/>
        </w:rPr>
        <w:t xml:space="preserve"> </w:t>
      </w:r>
    </w:p>
    <w:tbl>
      <w:tblPr>
        <w:tblW w:w="5061"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665"/>
        <w:gridCol w:w="1137"/>
        <w:gridCol w:w="1139"/>
        <w:gridCol w:w="982"/>
        <w:gridCol w:w="988"/>
        <w:gridCol w:w="1117"/>
        <w:gridCol w:w="982"/>
        <w:gridCol w:w="982"/>
        <w:gridCol w:w="985"/>
        <w:gridCol w:w="1119"/>
        <w:gridCol w:w="1122"/>
        <w:gridCol w:w="1097"/>
      </w:tblGrid>
      <w:tr w:rsidR="002320E0" w:rsidRPr="00C262DB" w:rsidTr="00C262DB">
        <w:trPr>
          <w:trHeight w:val="300"/>
          <w:tblHeader/>
        </w:trPr>
        <w:tc>
          <w:tcPr>
            <w:tcW w:w="931" w:type="pct"/>
            <w:vMerge w:val="restart"/>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 </w:t>
            </w:r>
          </w:p>
          <w:p w:rsidR="002320E0" w:rsidRPr="00C262DB" w:rsidRDefault="002320E0" w:rsidP="005B705F">
            <w:pPr>
              <w:keepNext/>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 </w:t>
            </w:r>
          </w:p>
        </w:tc>
        <w:tc>
          <w:tcPr>
            <w:tcW w:w="397" w:type="pct"/>
            <w:vMerge w:val="restart"/>
            <w:shd w:val="clear" w:color="auto" w:fill="auto"/>
            <w:noWrap/>
            <w:vAlign w:val="bottom"/>
            <w:hideMark/>
          </w:tcPr>
          <w:p w:rsidR="002320E0" w:rsidRPr="00C262DB" w:rsidRDefault="002320E0" w:rsidP="005B705F">
            <w:pPr>
              <w:keepNext/>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Utilisation simultanée de sources d'énergie</w:t>
            </w:r>
          </w:p>
        </w:tc>
        <w:tc>
          <w:tcPr>
            <w:tcW w:w="3289" w:type="pct"/>
            <w:gridSpan w:val="9"/>
            <w:tcBorders>
              <w:top w:val="double" w:sz="4" w:space="0" w:color="auto"/>
              <w:bottom w:val="single" w:sz="4" w:space="0" w:color="auto"/>
            </w:tcBorders>
            <w:shd w:val="clear" w:color="auto" w:fill="auto"/>
            <w:noWrap/>
            <w:vAlign w:val="center"/>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Pourcentage de ménages faisant usage simultané</w:t>
            </w:r>
          </w:p>
        </w:tc>
        <w:tc>
          <w:tcPr>
            <w:tcW w:w="383" w:type="pct"/>
            <w:vMerge w:val="restart"/>
            <w:shd w:val="clear" w:color="auto" w:fill="auto"/>
            <w:vAlign w:val="bottom"/>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Effectif de ménages utilisant l'électricité</w:t>
            </w:r>
          </w:p>
        </w:tc>
      </w:tr>
      <w:tr w:rsidR="00C262DB" w:rsidRPr="00C262DB" w:rsidTr="00C262DB">
        <w:trPr>
          <w:trHeight w:val="953"/>
          <w:tblHeader/>
        </w:trPr>
        <w:tc>
          <w:tcPr>
            <w:tcW w:w="931" w:type="pct"/>
            <w:vMerge/>
            <w:tcBorders>
              <w:bottom w:val="single" w:sz="4" w:space="0" w:color="auto"/>
            </w:tcBorders>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color w:val="000000"/>
                <w:sz w:val="20"/>
                <w:szCs w:val="20"/>
                <w:lang w:eastAsia="fr-FR"/>
              </w:rPr>
            </w:pPr>
          </w:p>
        </w:tc>
        <w:tc>
          <w:tcPr>
            <w:tcW w:w="397" w:type="pct"/>
            <w:vMerge/>
            <w:tcBorders>
              <w:bottom w:val="single" w:sz="4" w:space="0" w:color="auto"/>
            </w:tcBorders>
            <w:shd w:val="clear" w:color="auto" w:fill="auto"/>
            <w:noWrap/>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p>
        </w:tc>
        <w:tc>
          <w:tcPr>
            <w:tcW w:w="398"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générateur</w:t>
            </w:r>
          </w:p>
        </w:tc>
        <w:tc>
          <w:tcPr>
            <w:tcW w:w="343"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pétrole</w:t>
            </w:r>
          </w:p>
        </w:tc>
        <w:tc>
          <w:tcPr>
            <w:tcW w:w="345"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énergie solaire</w:t>
            </w:r>
          </w:p>
        </w:tc>
        <w:tc>
          <w:tcPr>
            <w:tcW w:w="390"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charbon, biomasse et bois</w:t>
            </w:r>
          </w:p>
        </w:tc>
        <w:tc>
          <w:tcPr>
            <w:tcW w:w="343"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pile à torche et batterie</w:t>
            </w:r>
          </w:p>
        </w:tc>
        <w:tc>
          <w:tcPr>
            <w:tcW w:w="343"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gaz</w:t>
            </w:r>
          </w:p>
        </w:tc>
        <w:tc>
          <w:tcPr>
            <w:tcW w:w="344"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bougie</w:t>
            </w:r>
          </w:p>
        </w:tc>
        <w:tc>
          <w:tcPr>
            <w:tcW w:w="391"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Electricité et autres sources d'énergie</w:t>
            </w:r>
          </w:p>
        </w:tc>
        <w:tc>
          <w:tcPr>
            <w:tcW w:w="392" w:type="pct"/>
            <w:tcBorders>
              <w:top w:val="single" w:sz="4" w:space="0" w:color="auto"/>
              <w:bottom w:val="single" w:sz="4" w:space="0" w:color="auto"/>
            </w:tcBorders>
            <w:shd w:val="clear" w:color="auto" w:fill="auto"/>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Ligne directe et toile d'araignée</w:t>
            </w:r>
          </w:p>
        </w:tc>
        <w:tc>
          <w:tcPr>
            <w:tcW w:w="383" w:type="pct"/>
            <w:vMerge/>
            <w:tcBorders>
              <w:bottom w:val="single" w:sz="4" w:space="0" w:color="auto"/>
            </w:tcBorders>
            <w:shd w:val="clear" w:color="auto" w:fill="auto"/>
            <w:vAlign w:val="center"/>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p>
        </w:tc>
      </w:tr>
      <w:tr w:rsidR="002320E0" w:rsidRPr="00C262DB" w:rsidTr="00C262DB">
        <w:trPr>
          <w:trHeight w:val="300"/>
        </w:trPr>
        <w:tc>
          <w:tcPr>
            <w:tcW w:w="931"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b/>
                <w:color w:val="000000"/>
                <w:lang w:eastAsia="fr-FR"/>
              </w:rPr>
            </w:pPr>
            <w:r w:rsidRPr="00C262DB">
              <w:rPr>
                <w:rFonts w:ascii="Trebuchet MS" w:eastAsia="Times New Roman" w:hAnsi="Trebuchet MS"/>
                <w:b/>
                <w:color w:val="000000"/>
                <w:lang w:eastAsia="fr-FR"/>
              </w:rPr>
              <w:t>Département de résidence</w:t>
            </w:r>
          </w:p>
        </w:tc>
        <w:tc>
          <w:tcPr>
            <w:tcW w:w="397"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8"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5"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0"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4"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1"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2"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8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r>
      <w:tr w:rsidR="002320E0" w:rsidRPr="00C262DB" w:rsidTr="00C262DB">
        <w:trPr>
          <w:trHeight w:val="300"/>
        </w:trPr>
        <w:tc>
          <w:tcPr>
            <w:tcW w:w="931" w:type="pct"/>
            <w:tcBorders>
              <w:top w:val="nil"/>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ALIBORI</w:t>
            </w:r>
          </w:p>
        </w:tc>
        <w:tc>
          <w:tcPr>
            <w:tcW w:w="397"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11,8</w:t>
            </w:r>
          </w:p>
        </w:tc>
        <w:tc>
          <w:tcPr>
            <w:tcW w:w="398"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51</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ATACORA</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33,3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44,4</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22,2</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87</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ATLANTIQUE</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27,3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12,5</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16,7</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6,3</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45,8</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10,4</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176</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BORGOU</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36</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COLLINES</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17,6</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79,0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10,5</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10,5</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108</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COUFFO</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64,7</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9,1</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63,6</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27,3</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DONGA</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19,1</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4,8</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95,2</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110</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LITTORAL</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17,0</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34,2</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7,9</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31,6</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18,4</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223</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MONO</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57,7</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28,3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38,3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23,3</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104</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OUEME</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5,2</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22,4</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15,5</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5,2</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198</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PLATEAU</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46</w:t>
            </w:r>
          </w:p>
        </w:tc>
      </w:tr>
      <w:tr w:rsidR="002320E0" w:rsidRPr="00C262DB" w:rsidTr="00C262DB">
        <w:trPr>
          <w:trHeight w:val="300"/>
        </w:trPr>
        <w:tc>
          <w:tcPr>
            <w:tcW w:w="931"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ZOU</w:t>
            </w:r>
          </w:p>
        </w:tc>
        <w:tc>
          <w:tcPr>
            <w:tcW w:w="397"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8"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8,3</w:t>
            </w:r>
          </w:p>
        </w:tc>
        <w:tc>
          <w:tcPr>
            <w:tcW w:w="345"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70,8</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12,5</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91"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8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169</w:t>
            </w:r>
          </w:p>
        </w:tc>
      </w:tr>
      <w:tr w:rsidR="002320E0" w:rsidRPr="00C262DB" w:rsidTr="00C262DB">
        <w:trPr>
          <w:trHeight w:val="300"/>
        </w:trPr>
        <w:tc>
          <w:tcPr>
            <w:tcW w:w="931"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Ensemble</w:t>
            </w:r>
          </w:p>
        </w:tc>
        <w:tc>
          <w:tcPr>
            <w:tcW w:w="397"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22,3</w:t>
            </w:r>
          </w:p>
        </w:tc>
        <w:tc>
          <w:tcPr>
            <w:tcW w:w="398"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0,7</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3,1</w:t>
            </w:r>
          </w:p>
        </w:tc>
        <w:tc>
          <w:tcPr>
            <w:tcW w:w="345"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0,7</w:t>
            </w:r>
          </w:p>
        </w:tc>
        <w:tc>
          <w:tcPr>
            <w:tcW w:w="390"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29,5</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29,8</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9,2</w:t>
            </w:r>
          </w:p>
        </w:tc>
        <w:tc>
          <w:tcPr>
            <w:tcW w:w="344"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21,7</w:t>
            </w:r>
          </w:p>
        </w:tc>
        <w:tc>
          <w:tcPr>
            <w:tcW w:w="391"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2,0</w:t>
            </w:r>
          </w:p>
        </w:tc>
        <w:tc>
          <w:tcPr>
            <w:tcW w:w="392"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3,4</w:t>
            </w:r>
          </w:p>
        </w:tc>
        <w:tc>
          <w:tcPr>
            <w:tcW w:w="38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1325</w:t>
            </w:r>
          </w:p>
        </w:tc>
      </w:tr>
      <w:tr w:rsidR="002320E0" w:rsidRPr="00C262DB" w:rsidTr="00C262DB">
        <w:trPr>
          <w:trHeight w:val="304"/>
        </w:trPr>
        <w:tc>
          <w:tcPr>
            <w:tcW w:w="5000" w:type="pct"/>
            <w:gridSpan w:val="12"/>
            <w:tcBorders>
              <w:top w:val="double" w:sz="4" w:space="0" w:color="auto"/>
              <w:bottom w:val="nil"/>
            </w:tcBorders>
            <w:shd w:val="clear" w:color="auto" w:fill="auto"/>
            <w:noWrap/>
            <w:vAlign w:val="bottom"/>
            <w:hideMark/>
          </w:tcPr>
          <w:p w:rsidR="002320E0" w:rsidRPr="00C262DB" w:rsidRDefault="002320E0" w:rsidP="005B705F">
            <w:pPr>
              <w:keepNext/>
              <w:spacing w:after="0"/>
              <w:rPr>
                <w:rFonts w:ascii="Trebuchet MS" w:eastAsia="Times New Roman" w:hAnsi="Trebuchet MS"/>
                <w:b/>
                <w:color w:val="000000"/>
                <w:lang w:eastAsia="fr-FR"/>
              </w:rPr>
            </w:pPr>
            <w:r w:rsidRPr="00C262DB">
              <w:rPr>
                <w:rFonts w:ascii="Trebuchet MS" w:hAnsi="Trebuchet MS" w:cs="Arial"/>
                <w:b/>
                <w:bCs/>
                <w:color w:val="000000"/>
                <w:sz w:val="20"/>
              </w:rPr>
              <w:t>Source : ECEB, INSAE, 2015</w:t>
            </w:r>
          </w:p>
        </w:tc>
      </w:tr>
    </w:tbl>
    <w:p w:rsidR="002320E0" w:rsidRDefault="002320E0" w:rsidP="002320E0">
      <w:pPr>
        <w:spacing w:line="360" w:lineRule="auto"/>
        <w:jc w:val="both"/>
        <w:rPr>
          <w:rFonts w:ascii="Times New Roman" w:hAnsi="Times New Roman"/>
          <w:sz w:val="24"/>
          <w:szCs w:val="24"/>
        </w:rPr>
      </w:pPr>
    </w:p>
    <w:p w:rsidR="002320E0" w:rsidRDefault="002320E0" w:rsidP="002320E0">
      <w:pPr>
        <w:spacing w:line="360" w:lineRule="auto"/>
        <w:jc w:val="both"/>
        <w:rPr>
          <w:rFonts w:ascii="Times New Roman" w:hAnsi="Times New Roman"/>
          <w:sz w:val="24"/>
          <w:szCs w:val="24"/>
        </w:rPr>
      </w:pPr>
    </w:p>
    <w:p w:rsidR="002320E0" w:rsidRPr="004E016A" w:rsidRDefault="002320E0" w:rsidP="002320E0">
      <w:pPr>
        <w:rPr>
          <w:rFonts w:ascii="Times New Roman" w:hAnsi="Times New Roman"/>
          <w:sz w:val="24"/>
          <w:szCs w:val="24"/>
        </w:rPr>
        <w:sectPr w:rsidR="002320E0" w:rsidRPr="004E016A" w:rsidSect="00C262DB">
          <w:pgSz w:w="16838" w:h="11906" w:orient="landscape"/>
          <w:pgMar w:top="1418" w:right="1843" w:bottom="1418" w:left="993" w:header="709" w:footer="0" w:gutter="0"/>
          <w:cols w:space="708"/>
          <w:docGrid w:linePitch="360"/>
        </w:sectPr>
      </w:pPr>
    </w:p>
    <w:p w:rsidR="002320E0" w:rsidRPr="006F3495" w:rsidRDefault="006F3495" w:rsidP="00F03E08">
      <w:pPr>
        <w:pStyle w:val="Titre4"/>
      </w:pPr>
      <w:bookmarkStart w:id="151" w:name="_Toc426359448"/>
      <w:r>
        <w:t xml:space="preserve">2.1.5. </w:t>
      </w:r>
      <w:r w:rsidR="002320E0" w:rsidRPr="006F3495">
        <w:t>Source d’énergie alternative utilisée en cas de coupure d’électricité</w:t>
      </w:r>
      <w:bookmarkEnd w:id="151"/>
    </w:p>
    <w:p w:rsidR="002320E0" w:rsidRPr="00D2780E" w:rsidRDefault="002320E0" w:rsidP="002320E0">
      <w:pPr>
        <w:jc w:val="both"/>
        <w:rPr>
          <w:rFonts w:ascii="Trebuchet MS" w:hAnsi="Trebuchet MS"/>
        </w:rPr>
      </w:pPr>
      <w:r w:rsidRPr="008F5C67">
        <w:rPr>
          <w:rFonts w:ascii="Trebuchet MS" w:hAnsi="Trebuchet MS"/>
        </w:rPr>
        <w:t xml:space="preserve">En cas de coupure </w:t>
      </w:r>
      <w:r>
        <w:rPr>
          <w:rFonts w:ascii="Trebuchet MS" w:hAnsi="Trebuchet MS"/>
        </w:rPr>
        <w:t>d’</w:t>
      </w:r>
      <w:r w:rsidRPr="008F5C67">
        <w:rPr>
          <w:rFonts w:ascii="Trebuchet MS" w:hAnsi="Trebuchet MS"/>
        </w:rPr>
        <w:t>électr</w:t>
      </w:r>
      <w:r>
        <w:rPr>
          <w:rFonts w:ascii="Trebuchet MS" w:hAnsi="Trebuchet MS"/>
        </w:rPr>
        <w:t xml:space="preserve">icité,les ménages </w:t>
      </w:r>
      <w:r w:rsidR="007F3278">
        <w:rPr>
          <w:rFonts w:ascii="Trebuchet MS" w:hAnsi="Trebuchet MS"/>
        </w:rPr>
        <w:t xml:space="preserve">utilisent principalement comme sources alternatives </w:t>
      </w:r>
      <w:r>
        <w:rPr>
          <w:rFonts w:ascii="Trebuchet MS" w:hAnsi="Trebuchet MS"/>
        </w:rPr>
        <w:t xml:space="preserve">la Pile à torche (15,2%), le </w:t>
      </w:r>
      <w:r w:rsidRPr="00D2780E">
        <w:rPr>
          <w:rFonts w:ascii="Trebuchet MS" w:hAnsi="Trebuchet MS"/>
        </w:rPr>
        <w:t>Pétrole (9,5%) et la Bougie (9,4%)</w:t>
      </w:r>
      <w:r>
        <w:rPr>
          <w:rFonts w:ascii="Trebuchet MS" w:hAnsi="Trebuchet MS"/>
        </w:rPr>
        <w:t>. Très peu de ménages utilisent le groupe électrogène (2,4%).</w:t>
      </w:r>
    </w:p>
    <w:p w:rsidR="002320E0" w:rsidRDefault="002320E0" w:rsidP="002320E0">
      <w:pPr>
        <w:jc w:val="both"/>
        <w:rPr>
          <w:rFonts w:ascii="Trebuchet MS" w:hAnsi="Trebuchet MS"/>
        </w:rPr>
      </w:pPr>
      <w:r>
        <w:rPr>
          <w:rFonts w:ascii="Trebuchet MS" w:hAnsi="Trebuchet MS"/>
        </w:rPr>
        <w:t>L’analyse selon le sexe du chef de ménage révèle que l’utilisation de pile à torche comme source alternative se fait dans pratiquement dans la même proportion par les ménages dirigés par les femmes (15,4%) que par les ménages dirigés par les hommes (15,2%).</w:t>
      </w:r>
    </w:p>
    <w:p w:rsidR="002320E0" w:rsidRPr="008F5C67" w:rsidRDefault="002320E0" w:rsidP="002320E0">
      <w:pPr>
        <w:jc w:val="both"/>
        <w:rPr>
          <w:rFonts w:ascii="Trebuchet MS" w:hAnsi="Trebuchet MS"/>
        </w:rPr>
      </w:pPr>
      <w:r>
        <w:rPr>
          <w:rFonts w:ascii="Trebuchet MS" w:hAnsi="Trebuchet MS"/>
        </w:rPr>
        <w:t xml:space="preserve">Selon le milieu de résidence, </w:t>
      </w:r>
      <w:r w:rsidRPr="008F5C67">
        <w:rPr>
          <w:rFonts w:ascii="Trebuchet MS" w:hAnsi="Trebuchet MS"/>
        </w:rPr>
        <w:t>le pétrole</w:t>
      </w:r>
      <w:r>
        <w:rPr>
          <w:rFonts w:ascii="Trebuchet MS" w:hAnsi="Trebuchet MS"/>
        </w:rPr>
        <w:t xml:space="preserve"> (12,5%)</w:t>
      </w:r>
      <w:r w:rsidRPr="008F5C67">
        <w:rPr>
          <w:rFonts w:ascii="Trebuchet MS" w:hAnsi="Trebuchet MS"/>
        </w:rPr>
        <w:t xml:space="preserve"> et la pile torche</w:t>
      </w:r>
      <w:r>
        <w:rPr>
          <w:rFonts w:ascii="Trebuchet MS" w:hAnsi="Trebuchet MS"/>
        </w:rPr>
        <w:t xml:space="preserve"> (15,1%)</w:t>
      </w:r>
      <w:r w:rsidRPr="008F5C67">
        <w:rPr>
          <w:rFonts w:ascii="Trebuchet MS" w:hAnsi="Trebuchet MS"/>
        </w:rPr>
        <w:t xml:space="preserve"> sont les sources</w:t>
      </w:r>
      <w:r>
        <w:rPr>
          <w:rFonts w:ascii="Trebuchet MS" w:hAnsi="Trebuchet MS"/>
        </w:rPr>
        <w:t xml:space="preserve"> alternatives les plus utilisés en </w:t>
      </w:r>
      <w:r w:rsidRPr="008F5C67">
        <w:rPr>
          <w:rFonts w:ascii="Trebuchet MS" w:hAnsi="Trebuchet MS"/>
        </w:rPr>
        <w:t>milieu rural</w:t>
      </w:r>
      <w:r>
        <w:rPr>
          <w:rFonts w:ascii="Trebuchet MS" w:hAnsi="Trebuchet MS"/>
        </w:rPr>
        <w:t xml:space="preserve">. Par ailleurs, </w:t>
      </w:r>
      <w:r w:rsidRPr="008F5C67">
        <w:rPr>
          <w:rFonts w:ascii="Trebuchet MS" w:hAnsi="Trebuchet MS"/>
        </w:rPr>
        <w:t>la pile torche</w:t>
      </w:r>
      <w:r>
        <w:rPr>
          <w:rFonts w:ascii="Trebuchet MS" w:hAnsi="Trebuchet MS"/>
        </w:rPr>
        <w:t xml:space="preserve"> (15,3%)</w:t>
      </w:r>
      <w:r w:rsidRPr="008F5C67">
        <w:rPr>
          <w:rFonts w:ascii="Trebuchet MS" w:hAnsi="Trebuchet MS"/>
        </w:rPr>
        <w:t xml:space="preserve"> est</w:t>
      </w:r>
      <w:r>
        <w:rPr>
          <w:rFonts w:ascii="Trebuchet MS" w:hAnsi="Trebuchet MS"/>
        </w:rPr>
        <w:t xml:space="preserve"> la source alternative utilisée</w:t>
      </w:r>
      <w:r w:rsidRPr="008F5C67">
        <w:rPr>
          <w:rFonts w:ascii="Trebuchet MS" w:hAnsi="Trebuchet MS"/>
        </w:rPr>
        <w:t xml:space="preserve"> par les ménages</w:t>
      </w:r>
      <w:r>
        <w:rPr>
          <w:rFonts w:ascii="Trebuchet MS" w:hAnsi="Trebuchet MS"/>
        </w:rPr>
        <w:t xml:space="preserve"> en milieu urbain.</w:t>
      </w:r>
    </w:p>
    <w:p w:rsidR="002320E0" w:rsidRDefault="002320E0" w:rsidP="002320E0">
      <w:pPr>
        <w:spacing w:after="0" w:line="240" w:lineRule="auto"/>
        <w:rPr>
          <w:sz w:val="24"/>
          <w:szCs w:val="24"/>
        </w:rPr>
      </w:pPr>
    </w:p>
    <w:p w:rsidR="00185837" w:rsidRPr="00185837" w:rsidRDefault="00185837" w:rsidP="005B705F">
      <w:pPr>
        <w:keepNext/>
        <w:spacing w:after="0" w:line="240" w:lineRule="auto"/>
        <w:jc w:val="both"/>
        <w:rPr>
          <w:rFonts w:ascii="Trebuchet MS" w:hAnsi="Trebuchet MS"/>
          <w:b/>
          <w:sz w:val="20"/>
          <w:szCs w:val="20"/>
        </w:rPr>
      </w:pPr>
      <w:bookmarkStart w:id="152" w:name="_Toc426359340"/>
      <w:r w:rsidRPr="00185837">
        <w:rPr>
          <w:rFonts w:ascii="Trebuchet MS" w:hAnsi="Trebuchet MS"/>
          <w:b/>
          <w:sz w:val="20"/>
          <w:szCs w:val="20"/>
        </w:rPr>
        <w:t xml:space="preserve">Tableau </w:t>
      </w:r>
      <w:r w:rsidR="00792500" w:rsidRPr="00185837">
        <w:rPr>
          <w:rFonts w:ascii="Trebuchet MS" w:hAnsi="Trebuchet MS"/>
          <w:b/>
          <w:sz w:val="20"/>
          <w:szCs w:val="20"/>
        </w:rPr>
        <w:fldChar w:fldCharType="begin"/>
      </w:r>
      <w:r w:rsidRPr="00185837">
        <w:rPr>
          <w:rFonts w:ascii="Trebuchet MS" w:hAnsi="Trebuchet MS"/>
          <w:b/>
          <w:sz w:val="20"/>
          <w:szCs w:val="20"/>
        </w:rPr>
        <w:instrText xml:space="preserve"> SEQ Tableau \* ARABIC </w:instrText>
      </w:r>
      <w:r w:rsidR="00792500" w:rsidRPr="00185837">
        <w:rPr>
          <w:rFonts w:ascii="Trebuchet MS" w:hAnsi="Trebuchet MS"/>
          <w:b/>
          <w:sz w:val="20"/>
          <w:szCs w:val="20"/>
        </w:rPr>
        <w:fldChar w:fldCharType="separate"/>
      </w:r>
      <w:r w:rsidR="00556962">
        <w:rPr>
          <w:rFonts w:ascii="Trebuchet MS" w:hAnsi="Trebuchet MS"/>
          <w:b/>
          <w:noProof/>
          <w:sz w:val="20"/>
          <w:szCs w:val="20"/>
        </w:rPr>
        <w:t>21</w:t>
      </w:r>
      <w:r w:rsidR="00792500" w:rsidRPr="00185837">
        <w:rPr>
          <w:rFonts w:ascii="Trebuchet MS" w:hAnsi="Trebuchet MS"/>
          <w:b/>
          <w:sz w:val="20"/>
          <w:szCs w:val="20"/>
        </w:rPr>
        <w:fldChar w:fldCharType="end"/>
      </w:r>
      <w:r w:rsidRPr="00185837">
        <w:rPr>
          <w:rFonts w:ascii="Trebuchet MS" w:hAnsi="Trebuchet MS"/>
          <w:b/>
          <w:sz w:val="20"/>
          <w:szCs w:val="20"/>
        </w:rPr>
        <w:t>: Pourcentage de ménage suivant les différentes sources alternatives utilisées en cas de coupure d'électricité selon le sexe du chef de ménage et le milieu de résidence</w:t>
      </w:r>
      <w:bookmarkEnd w:id="152"/>
    </w:p>
    <w:tbl>
      <w:tblPr>
        <w:tblW w:w="9370" w:type="dxa"/>
        <w:tblInd w:w="5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260"/>
        <w:gridCol w:w="1200"/>
        <w:gridCol w:w="160"/>
        <w:gridCol w:w="1177"/>
        <w:gridCol w:w="1148"/>
        <w:gridCol w:w="160"/>
        <w:gridCol w:w="1172"/>
        <w:gridCol w:w="1093"/>
      </w:tblGrid>
      <w:tr w:rsidR="002320E0" w:rsidRPr="00185837" w:rsidTr="00185837">
        <w:trPr>
          <w:trHeight w:val="375"/>
        </w:trPr>
        <w:tc>
          <w:tcPr>
            <w:tcW w:w="32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w:t>
            </w:r>
          </w:p>
        </w:tc>
        <w:tc>
          <w:tcPr>
            <w:tcW w:w="1200" w:type="dxa"/>
            <w:vMerge w:val="restart"/>
            <w:tcBorders>
              <w:top w:val="doub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Ensemble</w:t>
            </w:r>
          </w:p>
        </w:tc>
        <w:tc>
          <w:tcPr>
            <w:tcW w:w="1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2325" w:type="dxa"/>
            <w:gridSpan w:val="2"/>
            <w:tcBorders>
              <w:top w:val="double" w:sz="4" w:space="0" w:color="auto"/>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Sexe du CM</w:t>
            </w:r>
          </w:p>
        </w:tc>
        <w:tc>
          <w:tcPr>
            <w:tcW w:w="1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2265" w:type="dxa"/>
            <w:gridSpan w:val="2"/>
            <w:tcBorders>
              <w:top w:val="double" w:sz="4" w:space="0" w:color="auto"/>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Milieu de résidence</w:t>
            </w:r>
          </w:p>
        </w:tc>
      </w:tr>
      <w:tr w:rsidR="002320E0" w:rsidRPr="00185837" w:rsidTr="00185837">
        <w:trPr>
          <w:trHeight w:val="440"/>
        </w:trPr>
        <w:tc>
          <w:tcPr>
            <w:tcW w:w="32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w:t>
            </w:r>
          </w:p>
        </w:tc>
        <w:tc>
          <w:tcPr>
            <w:tcW w:w="1200" w:type="dxa"/>
            <w:vMerge/>
            <w:tcBorders>
              <w:bottom w:val="single" w:sz="4" w:space="0" w:color="auto"/>
            </w:tcBorders>
            <w:shd w:val="clear" w:color="auto" w:fill="auto"/>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single" w:sz="4" w:space="0" w:color="auto"/>
            </w:tcBorders>
            <w:shd w:val="clear" w:color="auto" w:fill="auto"/>
            <w:vAlign w:val="center"/>
          </w:tcPr>
          <w:p w:rsidR="002320E0" w:rsidRPr="00185837" w:rsidRDefault="002320E0" w:rsidP="005B705F">
            <w:pPr>
              <w:keepNext/>
              <w:spacing w:after="0" w:line="240" w:lineRule="auto"/>
              <w:ind w:left="110"/>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Masculin</w:t>
            </w:r>
          </w:p>
        </w:tc>
        <w:tc>
          <w:tcPr>
            <w:tcW w:w="1148" w:type="dxa"/>
            <w:tcBorders>
              <w:top w:val="single" w:sz="4" w:space="0" w:color="auto"/>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Féminin</w:t>
            </w:r>
          </w:p>
        </w:tc>
        <w:tc>
          <w:tcPr>
            <w:tcW w:w="160" w:type="dxa"/>
            <w:tcBorders>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single" w:sz="4" w:space="0" w:color="auto"/>
            </w:tcBorders>
            <w:shd w:val="clear" w:color="auto" w:fill="auto"/>
            <w:vAlign w:val="center"/>
          </w:tcPr>
          <w:p w:rsidR="002320E0" w:rsidRPr="00185837" w:rsidRDefault="002320E0" w:rsidP="005B705F">
            <w:pPr>
              <w:keepNext/>
              <w:spacing w:after="0" w:line="240" w:lineRule="auto"/>
              <w:ind w:left="50"/>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Urbain</w:t>
            </w:r>
          </w:p>
        </w:tc>
        <w:tc>
          <w:tcPr>
            <w:tcW w:w="1093" w:type="dxa"/>
            <w:tcBorders>
              <w:top w:val="single" w:sz="4" w:space="0" w:color="auto"/>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Rural</w:t>
            </w:r>
          </w:p>
        </w:tc>
      </w:tr>
      <w:tr w:rsidR="002320E0" w:rsidRPr="00185837" w:rsidTr="00185837">
        <w:trPr>
          <w:trHeight w:val="300"/>
        </w:trPr>
        <w:tc>
          <w:tcPr>
            <w:tcW w:w="32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Groupe électrogène</w:t>
            </w:r>
          </w:p>
        </w:tc>
        <w:tc>
          <w:tcPr>
            <w:tcW w:w="120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c>
          <w:tcPr>
            <w:tcW w:w="1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2,9</w:t>
            </w:r>
          </w:p>
        </w:tc>
        <w:tc>
          <w:tcPr>
            <w:tcW w:w="1148"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c>
          <w:tcPr>
            <w:tcW w:w="1093"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r>
      <w:tr w:rsidR="002320E0" w:rsidRPr="00185837" w:rsidTr="00185837">
        <w:trPr>
          <w:trHeight w:val="300"/>
        </w:trPr>
        <w:tc>
          <w:tcPr>
            <w:tcW w:w="3260" w:type="dxa"/>
            <w:tcBorders>
              <w:top w:val="nil"/>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xml:space="preserve">Pétrole </w:t>
            </w:r>
          </w:p>
        </w:tc>
        <w:tc>
          <w:tcPr>
            <w:tcW w:w="120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9,5</w:t>
            </w:r>
          </w:p>
        </w:tc>
        <w:tc>
          <w:tcPr>
            <w:tcW w:w="16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9,2</w:t>
            </w:r>
          </w:p>
        </w:tc>
        <w:tc>
          <w:tcPr>
            <w:tcW w:w="1148"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10,7</w:t>
            </w:r>
          </w:p>
        </w:tc>
        <w:tc>
          <w:tcPr>
            <w:tcW w:w="16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7,9</w:t>
            </w:r>
          </w:p>
        </w:tc>
        <w:tc>
          <w:tcPr>
            <w:tcW w:w="1093"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12,5</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Energie solaire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0,3</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0,3</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0,1</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Charbon de bois</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6,1</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6,2</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5,7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5,2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Pile à torche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15,2</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15,2</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15,3</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15,1</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Batterie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Gaz de pétrole liquefié (GPL ou LPG)</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1,1</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Gaz de propane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Bougie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9,0</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9,3</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9,5</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Biomasse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Bois de chauffe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3,9</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3,8</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4,3</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3,5</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4,7</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Aucune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Autres sources d'énergie</w:t>
            </w:r>
          </w:p>
        </w:tc>
        <w:tc>
          <w:tcPr>
            <w:tcW w:w="120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148"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093"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0,9</w:t>
            </w:r>
          </w:p>
        </w:tc>
      </w:tr>
      <w:tr w:rsidR="002320E0" w:rsidRPr="00185837" w:rsidTr="00185837">
        <w:trPr>
          <w:trHeight w:val="487"/>
        </w:trPr>
        <w:tc>
          <w:tcPr>
            <w:tcW w:w="3260" w:type="dxa"/>
            <w:tcBorders>
              <w:top w:val="single" w:sz="4" w:space="0" w:color="auto"/>
              <w:bottom w:val="double" w:sz="4" w:space="0" w:color="auto"/>
            </w:tcBorders>
            <w:shd w:val="clear" w:color="auto" w:fill="auto"/>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Effectif des ménages utilisant l'électricité</w:t>
            </w:r>
          </w:p>
        </w:tc>
        <w:tc>
          <w:tcPr>
            <w:tcW w:w="120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1325</w:t>
            </w:r>
          </w:p>
        </w:tc>
        <w:tc>
          <w:tcPr>
            <w:tcW w:w="16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doub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1045</w:t>
            </w:r>
          </w:p>
        </w:tc>
        <w:tc>
          <w:tcPr>
            <w:tcW w:w="1148"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280</w:t>
            </w:r>
          </w:p>
        </w:tc>
        <w:tc>
          <w:tcPr>
            <w:tcW w:w="16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doub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860</w:t>
            </w:r>
          </w:p>
        </w:tc>
        <w:tc>
          <w:tcPr>
            <w:tcW w:w="1093"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465</w:t>
            </w:r>
          </w:p>
        </w:tc>
      </w:tr>
      <w:tr w:rsidR="002320E0" w:rsidRPr="00185837" w:rsidTr="00185837">
        <w:trPr>
          <w:trHeight w:val="317"/>
        </w:trPr>
        <w:tc>
          <w:tcPr>
            <w:tcW w:w="9370" w:type="dxa"/>
            <w:gridSpan w:val="8"/>
            <w:tcBorders>
              <w:top w:val="double" w:sz="4" w:space="0" w:color="auto"/>
              <w:bottom w:val="nil"/>
            </w:tcBorders>
            <w:shd w:val="clear" w:color="auto" w:fill="auto"/>
            <w:vAlign w:val="bottom"/>
            <w:hideMark/>
          </w:tcPr>
          <w:p w:rsidR="002320E0" w:rsidRPr="00185837" w:rsidRDefault="002320E0" w:rsidP="005B705F">
            <w:pPr>
              <w:keepNext/>
              <w:spacing w:after="0" w:line="240" w:lineRule="auto"/>
              <w:rPr>
                <w:rFonts w:ascii="Trebuchet MS" w:eastAsia="Times New Roman" w:hAnsi="Trebuchet MS"/>
                <w:b/>
                <w:color w:val="000000"/>
                <w:lang w:eastAsia="fr-FR"/>
              </w:rPr>
            </w:pPr>
            <w:r w:rsidRPr="00185837">
              <w:rPr>
                <w:rFonts w:ascii="Trebuchet MS" w:hAnsi="Trebuchet MS" w:cs="Arial"/>
                <w:b/>
                <w:bCs/>
                <w:color w:val="000000"/>
                <w:sz w:val="20"/>
              </w:rPr>
              <w:t>Source : ECEB, INSAE, 2015</w:t>
            </w:r>
          </w:p>
        </w:tc>
      </w:tr>
    </w:tbl>
    <w:p w:rsidR="002320E0" w:rsidRPr="00184ED3" w:rsidRDefault="002320E0" w:rsidP="002320E0">
      <w:pPr>
        <w:rPr>
          <w:rFonts w:ascii="Trebuchet MS" w:hAnsi="Trebuchet MS"/>
        </w:rPr>
      </w:pPr>
    </w:p>
    <w:p w:rsidR="002320E0" w:rsidRPr="0072397D" w:rsidRDefault="009025BE" w:rsidP="009025BE">
      <w:pPr>
        <w:pStyle w:val="Titre3"/>
        <w:numPr>
          <w:ilvl w:val="0"/>
          <w:numId w:val="0"/>
        </w:numPr>
        <w:ind w:left="720" w:hanging="720"/>
      </w:pPr>
      <w:bookmarkStart w:id="153" w:name="_Toc426359397"/>
      <w:bookmarkStart w:id="154" w:name="_Toc426359449"/>
      <w:r>
        <w:t>2.2.</w:t>
      </w:r>
      <w:r w:rsidRPr="0072397D">
        <w:t xml:space="preserve"> Distribution</w:t>
      </w:r>
      <w:r w:rsidR="002320E0" w:rsidRPr="0072397D">
        <w:t xml:space="preserve"> de l’énergie à d’autres usagers</w:t>
      </w:r>
      <w:bookmarkEnd w:id="153"/>
      <w:bookmarkEnd w:id="154"/>
    </w:p>
    <w:p w:rsidR="002320E0" w:rsidRDefault="00663EFF" w:rsidP="00F03E08">
      <w:pPr>
        <w:pStyle w:val="Titre4"/>
      </w:pPr>
      <w:bookmarkStart w:id="155" w:name="_Toc426359450"/>
      <w:r>
        <w:t xml:space="preserve">2.2.1. </w:t>
      </w:r>
      <w:r w:rsidR="002320E0">
        <w:t>Distribution de l’électricité de la ligne directe de la SBEE</w:t>
      </w:r>
      <w:bookmarkEnd w:id="155"/>
    </w:p>
    <w:p w:rsidR="002320E0" w:rsidRDefault="002320E0" w:rsidP="004B12FE">
      <w:pPr>
        <w:jc w:val="both"/>
        <w:rPr>
          <w:rFonts w:ascii="Trebuchet MS" w:hAnsi="Trebuchet MS"/>
        </w:rPr>
      </w:pPr>
      <w:r w:rsidRPr="00A67637">
        <w:rPr>
          <w:rFonts w:ascii="Trebuchet MS" w:hAnsi="Trebuchet MS"/>
        </w:rPr>
        <w:t>Les résultats du tableau ci-</w:t>
      </w:r>
      <w:r>
        <w:rPr>
          <w:rFonts w:ascii="Trebuchet MS" w:hAnsi="Trebuchet MS"/>
        </w:rPr>
        <w:t xml:space="preserve">aprèsmontrent que </w:t>
      </w:r>
      <w:r w:rsidRPr="00A67637">
        <w:rPr>
          <w:rFonts w:ascii="Trebuchet MS" w:hAnsi="Trebuchet MS"/>
        </w:rPr>
        <w:t>le pourcentage de ménage</w:t>
      </w:r>
      <w:r>
        <w:rPr>
          <w:rFonts w:ascii="Trebuchet MS" w:hAnsi="Trebuchet MS"/>
        </w:rPr>
        <w:t>s</w:t>
      </w:r>
      <w:r w:rsidRPr="00A67637">
        <w:rPr>
          <w:rFonts w:ascii="Trebuchet MS" w:hAnsi="Trebuchet MS"/>
        </w:rPr>
        <w:t xml:space="preserve"> ayant distribué de l’énergie à d’autres usagers </w:t>
      </w:r>
      <w:r w:rsidR="00943A31">
        <w:rPr>
          <w:rFonts w:ascii="Trebuchet MS" w:hAnsi="Trebuchet MS"/>
        </w:rPr>
        <w:t xml:space="preserve">est </w:t>
      </w:r>
      <w:r>
        <w:rPr>
          <w:rFonts w:ascii="Trebuchet MS" w:hAnsi="Trebuchet MS"/>
        </w:rPr>
        <w:t xml:space="preserve">estimé à 21,8%. La distribution de l’électricité de la ligne directe de la SBEE est plus marquante en </w:t>
      </w:r>
      <w:r w:rsidRPr="00A67637">
        <w:rPr>
          <w:rFonts w:ascii="Trebuchet MS" w:hAnsi="Trebuchet MS"/>
        </w:rPr>
        <w:t xml:space="preserve">milieu rural (29,2%) </w:t>
      </w:r>
      <w:r>
        <w:rPr>
          <w:rFonts w:ascii="Trebuchet MS" w:hAnsi="Trebuchet MS"/>
        </w:rPr>
        <w:t xml:space="preserve">par rapport au </w:t>
      </w:r>
      <w:r w:rsidRPr="00A67637">
        <w:rPr>
          <w:rFonts w:ascii="Trebuchet MS" w:hAnsi="Trebuchet MS"/>
        </w:rPr>
        <w:t>milieu urbain (18,5%)</w:t>
      </w:r>
      <w:r>
        <w:rPr>
          <w:rFonts w:ascii="Trebuchet MS" w:hAnsi="Trebuchet MS"/>
        </w:rPr>
        <w:t>. L’analyse selon le département révèle que le phénomène de distribution de l’électricité de la ligne directe de la SBEE est plus prononcé dans les départements du</w:t>
      </w:r>
      <w:r w:rsidRPr="00A67637">
        <w:rPr>
          <w:rFonts w:ascii="Trebuchet MS" w:hAnsi="Trebuchet MS"/>
        </w:rPr>
        <w:t xml:space="preserve"> Plateau</w:t>
      </w:r>
      <w:r>
        <w:rPr>
          <w:rFonts w:ascii="Trebuchet MS" w:hAnsi="Trebuchet MS"/>
        </w:rPr>
        <w:t xml:space="preserve"> (</w:t>
      </w:r>
      <w:r w:rsidRPr="00A67637">
        <w:rPr>
          <w:rFonts w:ascii="Trebuchet MS" w:hAnsi="Trebuchet MS"/>
        </w:rPr>
        <w:t>42,1%</w:t>
      </w:r>
      <w:r>
        <w:rPr>
          <w:rFonts w:ascii="Trebuchet MS" w:hAnsi="Trebuchet MS"/>
        </w:rPr>
        <w:t xml:space="preserve"> des ménages</w:t>
      </w:r>
      <w:r w:rsidRPr="00A67637">
        <w:rPr>
          <w:rFonts w:ascii="Trebuchet MS" w:hAnsi="Trebuchet MS"/>
        </w:rPr>
        <w:t>)</w:t>
      </w:r>
      <w:r>
        <w:rPr>
          <w:rFonts w:ascii="Trebuchet MS" w:hAnsi="Trebuchet MS"/>
        </w:rPr>
        <w:t xml:space="preserve"> et de la Donga (36,7%des ménages)</w:t>
      </w:r>
      <w:r w:rsidRPr="00A67637">
        <w:rPr>
          <w:rFonts w:ascii="Trebuchet MS" w:hAnsi="Trebuchet MS"/>
        </w:rPr>
        <w:t>.</w:t>
      </w:r>
    </w:p>
    <w:p w:rsidR="002320E0" w:rsidRDefault="002320E0" w:rsidP="004B12FE">
      <w:pPr>
        <w:jc w:val="both"/>
        <w:rPr>
          <w:rFonts w:ascii="Trebuchet MS" w:hAnsi="Trebuchet MS"/>
        </w:rPr>
      </w:pPr>
    </w:p>
    <w:p w:rsidR="002320E0" w:rsidRDefault="002320E0" w:rsidP="00E47891">
      <w:pPr>
        <w:jc w:val="both"/>
        <w:rPr>
          <w:rFonts w:ascii="Trebuchet MS" w:eastAsia="Times New Roman" w:hAnsi="Trebuchet MS"/>
          <w:color w:val="000000"/>
          <w:lang w:eastAsia="fr-FR"/>
        </w:rPr>
      </w:pPr>
      <w:r>
        <w:rPr>
          <w:rFonts w:ascii="Trebuchet MS" w:hAnsi="Trebuchet MS"/>
        </w:rPr>
        <w:t xml:space="preserve">En ce qui concerne le </w:t>
      </w:r>
      <w:r w:rsidRPr="00A67637">
        <w:rPr>
          <w:rFonts w:ascii="Trebuchet MS" w:eastAsia="Times New Roman" w:hAnsi="Trebuchet MS"/>
          <w:color w:val="000000"/>
          <w:lang w:eastAsia="fr-FR"/>
        </w:rPr>
        <w:t>nombre moyen d'usagers connectés au compteur du ménage</w:t>
      </w:r>
      <w:r>
        <w:rPr>
          <w:rFonts w:ascii="Trebuchet MS" w:eastAsia="Times New Roman" w:hAnsi="Trebuchet MS"/>
          <w:color w:val="000000"/>
          <w:lang w:eastAsia="fr-FR"/>
        </w:rPr>
        <w:t xml:space="preserve">, en moyenne, 3,2 personnes sont connectées au même compteur du ménage. Ceci </w:t>
      </w:r>
      <w:r w:rsidRPr="00A67637">
        <w:rPr>
          <w:rFonts w:ascii="Trebuchet MS" w:eastAsia="Times New Roman" w:hAnsi="Trebuchet MS"/>
          <w:color w:val="000000"/>
          <w:lang w:eastAsia="fr-FR"/>
        </w:rPr>
        <w:t xml:space="preserve">varie très peu selon le milieu </w:t>
      </w:r>
      <w:r>
        <w:rPr>
          <w:rFonts w:ascii="Trebuchet MS" w:eastAsia="Times New Roman" w:hAnsi="Trebuchet MS"/>
          <w:color w:val="000000"/>
          <w:lang w:eastAsia="fr-FR"/>
        </w:rPr>
        <w:t>de résidence (</w:t>
      </w:r>
      <w:r w:rsidRPr="00A67637">
        <w:rPr>
          <w:rFonts w:ascii="Trebuchet MS" w:eastAsia="Times New Roman" w:hAnsi="Trebuchet MS"/>
          <w:color w:val="000000"/>
          <w:lang w:eastAsia="fr-FR"/>
        </w:rPr>
        <w:t>ce nombre est de 3,3 en milieu urbain contre 3,4 en milieu rural</w:t>
      </w:r>
      <w:r>
        <w:rPr>
          <w:rFonts w:ascii="Trebuchet MS" w:eastAsia="Times New Roman" w:hAnsi="Trebuchet MS"/>
          <w:color w:val="000000"/>
          <w:lang w:eastAsia="fr-FR"/>
        </w:rPr>
        <w:t>)</w:t>
      </w:r>
      <w:r w:rsidRPr="00A67637">
        <w:rPr>
          <w:rFonts w:ascii="Trebuchet MS" w:eastAsia="Times New Roman" w:hAnsi="Trebuchet MS"/>
          <w:color w:val="000000"/>
          <w:lang w:eastAsia="fr-FR"/>
        </w:rPr>
        <w:t xml:space="preserve">. </w:t>
      </w:r>
      <w:r>
        <w:rPr>
          <w:rFonts w:ascii="Trebuchet MS" w:eastAsia="Times New Roman" w:hAnsi="Trebuchet MS"/>
          <w:color w:val="000000"/>
          <w:lang w:eastAsia="fr-FR"/>
        </w:rPr>
        <w:t xml:space="preserve">Selon les départements, le nombre moyen de personnes connectés au même compteur est plus élevé dans les départements du Couffo (5,0), de la Donga (4,2) et  des Collines (4,0). </w:t>
      </w:r>
    </w:p>
    <w:p w:rsidR="00E47891" w:rsidRPr="00E47891" w:rsidRDefault="00E47891" w:rsidP="005B705F">
      <w:pPr>
        <w:keepNext/>
        <w:spacing w:after="0"/>
        <w:jc w:val="both"/>
        <w:rPr>
          <w:b/>
        </w:rPr>
      </w:pPr>
      <w:bookmarkStart w:id="156" w:name="_Toc426359341"/>
      <w:r w:rsidRPr="00E47891">
        <w:rPr>
          <w:rFonts w:ascii="Trebuchet MS" w:hAnsi="Trebuchet MS"/>
          <w:b/>
          <w:sz w:val="20"/>
        </w:rPr>
        <w:t xml:space="preserve">Tableau </w:t>
      </w:r>
      <w:r w:rsidR="00792500" w:rsidRPr="00E47891">
        <w:rPr>
          <w:rFonts w:ascii="Trebuchet MS" w:hAnsi="Trebuchet MS"/>
          <w:b/>
          <w:sz w:val="20"/>
        </w:rPr>
        <w:fldChar w:fldCharType="begin"/>
      </w:r>
      <w:r w:rsidRPr="00E47891">
        <w:rPr>
          <w:rFonts w:ascii="Trebuchet MS" w:hAnsi="Trebuchet MS"/>
          <w:b/>
          <w:sz w:val="20"/>
        </w:rPr>
        <w:instrText xml:space="preserve"> SEQ Tableau \* ARABIC </w:instrText>
      </w:r>
      <w:r w:rsidR="00792500" w:rsidRPr="00E47891">
        <w:rPr>
          <w:rFonts w:ascii="Trebuchet MS" w:hAnsi="Trebuchet MS"/>
          <w:b/>
          <w:sz w:val="20"/>
        </w:rPr>
        <w:fldChar w:fldCharType="separate"/>
      </w:r>
      <w:r w:rsidR="00556962">
        <w:rPr>
          <w:rFonts w:ascii="Trebuchet MS" w:hAnsi="Trebuchet MS"/>
          <w:b/>
          <w:noProof/>
          <w:sz w:val="20"/>
        </w:rPr>
        <w:t>22</w:t>
      </w:r>
      <w:r w:rsidR="00792500" w:rsidRPr="00E47891">
        <w:rPr>
          <w:rFonts w:ascii="Trebuchet MS" w:hAnsi="Trebuchet MS"/>
          <w:b/>
          <w:sz w:val="20"/>
        </w:rPr>
        <w:fldChar w:fldCharType="end"/>
      </w:r>
      <w:r w:rsidRPr="00E47891">
        <w:rPr>
          <w:rFonts w:ascii="Trebuchet MS" w:hAnsi="Trebuchet MS"/>
          <w:b/>
          <w:sz w:val="20"/>
        </w:rPr>
        <w:t xml:space="preserve">: </w:t>
      </w:r>
      <w:r w:rsidRPr="00E47891">
        <w:rPr>
          <w:rFonts w:ascii="Trebuchet MS" w:eastAsia="Times New Roman" w:hAnsi="Trebuchet MS"/>
          <w:b/>
          <w:color w:val="000000"/>
          <w:sz w:val="20"/>
          <w:lang w:eastAsia="fr-FR"/>
        </w:rPr>
        <w:t>Pourcentage de ménages ayant distribué de l'énergie à d'autres usagers, Nombre moyen d'usagers connectés au compteur du ménage et Pourcentage de ménages  selon la nature de la relation qui liait le ménage à la majorité des usagers au moment du raccordement au compteur</w:t>
      </w:r>
      <w:bookmarkEnd w:id="156"/>
    </w:p>
    <w:tbl>
      <w:tblPr>
        <w:tblW w:w="5232"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127"/>
        <w:gridCol w:w="1419"/>
        <w:gridCol w:w="1276"/>
        <w:gridCol w:w="1135"/>
        <w:gridCol w:w="848"/>
        <w:gridCol w:w="850"/>
        <w:gridCol w:w="854"/>
        <w:gridCol w:w="1130"/>
      </w:tblGrid>
      <w:tr w:rsidR="002320E0" w:rsidRPr="00E47891" w:rsidTr="00E47891">
        <w:trPr>
          <w:trHeight w:val="300"/>
        </w:trPr>
        <w:tc>
          <w:tcPr>
            <w:tcW w:w="1103" w:type="pct"/>
            <w:tcBorders>
              <w:top w:val="double" w:sz="4" w:space="0" w:color="auto"/>
              <w:bottom w:val="nil"/>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lang w:eastAsia="fr-FR"/>
              </w:rPr>
            </w:pPr>
          </w:p>
        </w:tc>
        <w:tc>
          <w:tcPr>
            <w:tcW w:w="3897" w:type="pct"/>
            <w:gridSpan w:val="7"/>
            <w:tcBorders>
              <w:top w:val="double" w:sz="4" w:space="0" w:color="auto"/>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Distribution de l'énergie par les ménages connectés à la ligne directe de la SBEE</w:t>
            </w:r>
          </w:p>
        </w:tc>
      </w:tr>
      <w:tr w:rsidR="002320E0" w:rsidRPr="00E47891" w:rsidTr="00E47891">
        <w:trPr>
          <w:trHeight w:val="819"/>
        </w:trPr>
        <w:tc>
          <w:tcPr>
            <w:tcW w:w="1103" w:type="pct"/>
            <w:vMerge w:val="restart"/>
            <w:tcBorders>
              <w:top w:val="nil"/>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 </w:t>
            </w:r>
          </w:p>
          <w:p w:rsidR="002320E0" w:rsidRPr="00E47891" w:rsidRDefault="002320E0" w:rsidP="005B705F">
            <w:pPr>
              <w:keepNext/>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 </w:t>
            </w:r>
          </w:p>
        </w:tc>
        <w:tc>
          <w:tcPr>
            <w:tcW w:w="736"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Pourcentage de ménages ayant distribué de l'énergie à d'autres usagers</w:t>
            </w:r>
          </w:p>
        </w:tc>
        <w:tc>
          <w:tcPr>
            <w:tcW w:w="662"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Nombre moyen d'usagers connectés au compteur du ménage</w:t>
            </w:r>
          </w:p>
        </w:tc>
        <w:tc>
          <w:tcPr>
            <w:tcW w:w="1913" w:type="pct"/>
            <w:gridSpan w:val="4"/>
            <w:tcBorders>
              <w:top w:val="single" w:sz="4" w:space="0" w:color="auto"/>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Pourcentage de ménages  selon la nature de la relation qui liait le ménage à la majorité des usagers au moment du raccordement au compteur</w:t>
            </w:r>
          </w:p>
        </w:tc>
        <w:tc>
          <w:tcPr>
            <w:tcW w:w="586"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Effectif de ménages connectés à la ligne directe de la SBEE</w:t>
            </w:r>
          </w:p>
        </w:tc>
      </w:tr>
      <w:tr w:rsidR="002320E0" w:rsidRPr="00E47891" w:rsidTr="00E47891">
        <w:trPr>
          <w:trHeight w:val="534"/>
        </w:trPr>
        <w:tc>
          <w:tcPr>
            <w:tcW w:w="1103" w:type="pct"/>
            <w:vMerge/>
            <w:tcBorders>
              <w:bottom w:val="single" w:sz="4" w:space="0" w:color="auto"/>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sz w:val="20"/>
                <w:szCs w:val="20"/>
                <w:lang w:eastAsia="fr-FR"/>
              </w:rPr>
            </w:pPr>
          </w:p>
        </w:tc>
        <w:tc>
          <w:tcPr>
            <w:tcW w:w="736"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p>
        </w:tc>
        <w:tc>
          <w:tcPr>
            <w:tcW w:w="662"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p>
        </w:tc>
        <w:tc>
          <w:tcPr>
            <w:tcW w:w="589"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Parent</w:t>
            </w:r>
          </w:p>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/Epoux</w:t>
            </w:r>
          </w:p>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/Epouse</w:t>
            </w:r>
          </w:p>
        </w:tc>
        <w:tc>
          <w:tcPr>
            <w:tcW w:w="440"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Ami</w:t>
            </w:r>
          </w:p>
        </w:tc>
        <w:tc>
          <w:tcPr>
            <w:tcW w:w="441"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Aucune relation</w:t>
            </w:r>
          </w:p>
        </w:tc>
        <w:tc>
          <w:tcPr>
            <w:tcW w:w="443"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Autre</w:t>
            </w:r>
          </w:p>
        </w:tc>
        <w:tc>
          <w:tcPr>
            <w:tcW w:w="586"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r>
      <w:tr w:rsidR="002320E0" w:rsidRPr="00E47891" w:rsidTr="00E47891">
        <w:trPr>
          <w:trHeight w:val="300"/>
        </w:trPr>
        <w:tc>
          <w:tcPr>
            <w:tcW w:w="1103" w:type="pct"/>
            <w:tcBorders>
              <w:top w:val="single" w:sz="4" w:space="0" w:color="auto"/>
              <w:bottom w:val="nil"/>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sz w:val="21"/>
                <w:szCs w:val="21"/>
                <w:lang w:eastAsia="fr-FR"/>
              </w:rPr>
            </w:pPr>
            <w:r w:rsidRPr="005959A7">
              <w:rPr>
                <w:rFonts w:ascii="Trebuchet MS" w:eastAsia="Times New Roman" w:hAnsi="Trebuchet MS"/>
                <w:b/>
                <w:color w:val="000000"/>
                <w:sz w:val="21"/>
                <w:szCs w:val="21"/>
                <w:lang w:eastAsia="fr-FR"/>
              </w:rPr>
              <w:t>Milieu de résidence</w:t>
            </w:r>
          </w:p>
        </w:tc>
        <w:tc>
          <w:tcPr>
            <w:tcW w:w="736"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662"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589"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0"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1"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3"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586"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r>
      <w:tr w:rsidR="002320E0" w:rsidRPr="00E47891" w:rsidTr="00E47891">
        <w:trPr>
          <w:trHeight w:val="300"/>
        </w:trPr>
        <w:tc>
          <w:tcPr>
            <w:tcW w:w="1103" w:type="pct"/>
            <w:tcBorders>
              <w:top w:val="nil"/>
            </w:tcBorders>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Urbain</w:t>
            </w:r>
          </w:p>
        </w:tc>
        <w:tc>
          <w:tcPr>
            <w:tcW w:w="736"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18,5</w:t>
            </w:r>
          </w:p>
        </w:tc>
        <w:tc>
          <w:tcPr>
            <w:tcW w:w="662"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45,1</w:t>
            </w:r>
          </w:p>
        </w:tc>
        <w:tc>
          <w:tcPr>
            <w:tcW w:w="440"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19,8</w:t>
            </w:r>
          </w:p>
        </w:tc>
        <w:tc>
          <w:tcPr>
            <w:tcW w:w="441"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27,9</w:t>
            </w:r>
          </w:p>
        </w:tc>
        <w:tc>
          <w:tcPr>
            <w:tcW w:w="443"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7,2</w:t>
            </w:r>
          </w:p>
        </w:tc>
        <w:tc>
          <w:tcPr>
            <w:tcW w:w="586"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264</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Rural</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29,2</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3,3</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53,9</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15,4</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21,8</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9,0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203</w:t>
            </w:r>
          </w:p>
        </w:tc>
      </w:tr>
      <w:tr w:rsidR="002320E0" w:rsidRPr="00E47891" w:rsidTr="00E47891">
        <w:trPr>
          <w:trHeight w:val="300"/>
        </w:trPr>
        <w:tc>
          <w:tcPr>
            <w:tcW w:w="1103" w:type="pct"/>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 xml:space="preserve">Département </w:t>
            </w:r>
          </w:p>
        </w:tc>
        <w:tc>
          <w:tcPr>
            <w:tcW w:w="736"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662"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589"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0"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1"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3"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586"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ALIBORI</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12,5</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60,0</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40,0</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ATACORA</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23,8</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26,7</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53,3</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ATLANTIQUE</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56,5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26,1</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4,4</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91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BORGOU</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26,9</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3,6</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28,6</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42,9</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28,6</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10</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COLLINES</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4,0</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57,1</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7,1</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35,7</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56</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COUFFO</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33,3</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DONGA</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36,7</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55,2</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27,6</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13,8</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32</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LITTORAL</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13,1</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34,8</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17,4</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30,4</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17,4</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MONO</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30,4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41,2</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11,8</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29,4</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17,7</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OUEME</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14,6</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62,5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8,3</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8,3</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20,8</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38</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PLATEAU</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42,1</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37,5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12,5</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w:t>
            </w:r>
          </w:p>
        </w:tc>
      </w:tr>
      <w:tr w:rsidR="002320E0" w:rsidRPr="00E47891" w:rsidTr="00E47891">
        <w:trPr>
          <w:trHeight w:val="300"/>
        </w:trPr>
        <w:tc>
          <w:tcPr>
            <w:tcW w:w="1103"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ZOU</w:t>
            </w:r>
          </w:p>
        </w:tc>
        <w:tc>
          <w:tcPr>
            <w:tcW w:w="736"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20,2</w:t>
            </w:r>
          </w:p>
        </w:tc>
        <w:tc>
          <w:tcPr>
            <w:tcW w:w="662"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3,2</w:t>
            </w:r>
          </w:p>
        </w:tc>
        <w:tc>
          <w:tcPr>
            <w:tcW w:w="589"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54,6</w:t>
            </w:r>
          </w:p>
        </w:tc>
        <w:tc>
          <w:tcPr>
            <w:tcW w:w="440"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13,6</w:t>
            </w:r>
          </w:p>
        </w:tc>
        <w:tc>
          <w:tcPr>
            <w:tcW w:w="441"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27,3</w:t>
            </w:r>
          </w:p>
        </w:tc>
        <w:tc>
          <w:tcPr>
            <w:tcW w:w="443"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4,6</w:t>
            </w:r>
          </w:p>
        </w:tc>
        <w:tc>
          <w:tcPr>
            <w:tcW w:w="586"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61</w:t>
            </w:r>
          </w:p>
        </w:tc>
      </w:tr>
      <w:tr w:rsidR="002320E0" w:rsidRPr="00E47891" w:rsidTr="00E47891">
        <w:trPr>
          <w:trHeight w:val="300"/>
        </w:trPr>
        <w:tc>
          <w:tcPr>
            <w:tcW w:w="1103"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Ensemble</w:t>
            </w:r>
          </w:p>
        </w:tc>
        <w:tc>
          <w:tcPr>
            <w:tcW w:w="73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21,8</w:t>
            </w:r>
          </w:p>
        </w:tc>
        <w:tc>
          <w:tcPr>
            <w:tcW w:w="662"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3,4</w:t>
            </w:r>
          </w:p>
        </w:tc>
        <w:tc>
          <w:tcPr>
            <w:tcW w:w="589"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48,7</w:t>
            </w:r>
          </w:p>
        </w:tc>
        <w:tc>
          <w:tcPr>
            <w:tcW w:w="440"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18,0</w:t>
            </w:r>
          </w:p>
        </w:tc>
        <w:tc>
          <w:tcPr>
            <w:tcW w:w="44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25,4</w:t>
            </w:r>
          </w:p>
        </w:tc>
        <w:tc>
          <w:tcPr>
            <w:tcW w:w="443"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7,9</w:t>
            </w:r>
          </w:p>
        </w:tc>
        <w:tc>
          <w:tcPr>
            <w:tcW w:w="58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467</w:t>
            </w:r>
          </w:p>
        </w:tc>
      </w:tr>
      <w:tr w:rsidR="002320E0" w:rsidRPr="00E47891" w:rsidTr="00E47891">
        <w:tblPrEx>
          <w:tblBorders>
            <w:top w:val="none" w:sz="0" w:space="0" w:color="auto"/>
            <w:bottom w:val="none" w:sz="0" w:space="0" w:color="auto"/>
          </w:tblBorders>
        </w:tblPrEx>
        <w:trPr>
          <w:trHeight w:val="300"/>
        </w:trPr>
        <w:tc>
          <w:tcPr>
            <w:tcW w:w="5000" w:type="pct"/>
            <w:gridSpan w:val="8"/>
            <w:shd w:val="clear" w:color="auto" w:fill="auto"/>
            <w:noWrap/>
            <w:vAlign w:val="bottom"/>
            <w:hideMark/>
          </w:tcPr>
          <w:p w:rsidR="002320E0" w:rsidRPr="0063589F" w:rsidRDefault="002320E0" w:rsidP="005B705F">
            <w:pPr>
              <w:keepNext/>
              <w:spacing w:after="0" w:line="240" w:lineRule="auto"/>
              <w:rPr>
                <w:rFonts w:ascii="Trebuchet MS" w:eastAsia="Times New Roman" w:hAnsi="Trebuchet MS"/>
                <w:b/>
                <w:color w:val="000000"/>
                <w:sz w:val="20"/>
                <w:lang w:eastAsia="fr-FR"/>
              </w:rPr>
            </w:pPr>
            <w:r w:rsidRPr="0063589F">
              <w:rPr>
                <w:rFonts w:ascii="Trebuchet MS" w:hAnsi="Trebuchet MS" w:cs="Arial"/>
                <w:b/>
                <w:bCs/>
                <w:color w:val="000000"/>
                <w:sz w:val="20"/>
              </w:rPr>
              <w:t>Source : ECEB, INSAE, 2015</w:t>
            </w:r>
          </w:p>
        </w:tc>
      </w:tr>
    </w:tbl>
    <w:p w:rsidR="002320E0" w:rsidRDefault="002320E0" w:rsidP="002320E0">
      <w:pPr>
        <w:rPr>
          <w:lang w:eastAsia="fr-FR"/>
        </w:rPr>
      </w:pPr>
    </w:p>
    <w:p w:rsidR="002320E0" w:rsidRDefault="002320E0" w:rsidP="00E47891">
      <w:pPr>
        <w:jc w:val="both"/>
        <w:rPr>
          <w:rFonts w:ascii="Trebuchet MS" w:eastAsia="Times New Roman" w:hAnsi="Trebuchet MS"/>
          <w:color w:val="000000"/>
          <w:lang w:eastAsia="fr-FR"/>
        </w:rPr>
      </w:pPr>
      <w:r>
        <w:rPr>
          <w:rFonts w:ascii="Trebuchet MS" w:eastAsia="Times New Roman" w:hAnsi="Trebuchet MS"/>
          <w:color w:val="000000"/>
          <w:lang w:eastAsia="fr-FR"/>
        </w:rPr>
        <w:t>Les départements du Plateau (2,6), du Littoral (2,8), de l’Atacora (2,9) et du Mono (2,9) enregistrent très peu de personnes en moyenne connectés au même compteur que le ménage.</w:t>
      </w:r>
    </w:p>
    <w:p w:rsidR="002320E0" w:rsidRPr="00A67637" w:rsidRDefault="002320E0" w:rsidP="00E47891">
      <w:pPr>
        <w:jc w:val="both"/>
        <w:rPr>
          <w:rFonts w:ascii="Trebuchet MS" w:hAnsi="Trebuchet MS"/>
          <w:lang w:eastAsia="fr-FR"/>
        </w:rPr>
      </w:pPr>
      <w:r w:rsidRPr="00A67637">
        <w:rPr>
          <w:rFonts w:ascii="Trebuchet MS" w:eastAsia="Times New Roman" w:hAnsi="Trebuchet MS"/>
          <w:color w:val="000000"/>
          <w:lang w:eastAsia="fr-FR"/>
        </w:rPr>
        <w:t>Au moment de raccordement au compteur</w:t>
      </w:r>
      <w:r>
        <w:rPr>
          <w:rFonts w:ascii="Trebuchet MS" w:eastAsia="Times New Roman" w:hAnsi="Trebuchet MS"/>
          <w:color w:val="000000"/>
          <w:lang w:eastAsia="fr-FR"/>
        </w:rPr>
        <w:t>, presque la moitié (48,7%) des</w:t>
      </w:r>
      <w:r>
        <w:rPr>
          <w:rFonts w:ascii="Trebuchet MS" w:hAnsi="Trebuchet MS"/>
        </w:rPr>
        <w:t>usagers sont des Parent/Epoux(se). La même situation se présente dans l</w:t>
      </w:r>
      <w:r w:rsidRPr="00A67637">
        <w:rPr>
          <w:rFonts w:ascii="Trebuchet MS" w:hAnsi="Trebuchet MS"/>
        </w:rPr>
        <w:t>es départements de l’Ouémé (62,5%)</w:t>
      </w:r>
      <w:r>
        <w:rPr>
          <w:rFonts w:ascii="Trebuchet MS" w:hAnsi="Trebuchet MS"/>
        </w:rPr>
        <w:t>, de l’</w:t>
      </w:r>
      <w:r w:rsidRPr="00A67637">
        <w:rPr>
          <w:rFonts w:ascii="Trebuchet MS" w:hAnsi="Trebuchet MS"/>
        </w:rPr>
        <w:t>Alibori (60,0%), des Collines (57,1%)</w:t>
      </w:r>
      <w:r>
        <w:rPr>
          <w:rFonts w:ascii="Trebuchet MS" w:hAnsi="Trebuchet MS"/>
        </w:rPr>
        <w:t>, de l</w:t>
      </w:r>
      <w:r w:rsidRPr="00A67637">
        <w:rPr>
          <w:rFonts w:ascii="Trebuchet MS" w:hAnsi="Trebuchet MS"/>
        </w:rPr>
        <w:t xml:space="preserve">’Atlantique (56,5%), de </w:t>
      </w:r>
      <w:r>
        <w:rPr>
          <w:rFonts w:ascii="Trebuchet MS" w:hAnsi="Trebuchet MS"/>
        </w:rPr>
        <w:t xml:space="preserve">la </w:t>
      </w:r>
      <w:r w:rsidRPr="00A67637">
        <w:rPr>
          <w:rFonts w:ascii="Trebuchet MS" w:hAnsi="Trebuchet MS"/>
        </w:rPr>
        <w:t>Donga (55,2%), d</w:t>
      </w:r>
      <w:r>
        <w:rPr>
          <w:rFonts w:ascii="Trebuchet MS" w:hAnsi="Trebuchet MS"/>
        </w:rPr>
        <w:t>u</w:t>
      </w:r>
      <w:r w:rsidRPr="00A67637">
        <w:rPr>
          <w:rFonts w:ascii="Trebuchet MS" w:hAnsi="Trebuchet MS"/>
        </w:rPr>
        <w:t xml:space="preserve"> Zou (54,6%) et du Couffo (50,0%).</w:t>
      </w:r>
      <w:r>
        <w:rPr>
          <w:rFonts w:ascii="Trebuchet MS" w:hAnsi="Trebuchet MS"/>
        </w:rPr>
        <w:t xml:space="preserve"> Dans les départements du P</w:t>
      </w:r>
      <w:r w:rsidRPr="00A67637">
        <w:rPr>
          <w:rFonts w:ascii="Trebuchet MS" w:hAnsi="Trebuchet MS"/>
        </w:rPr>
        <w:t>lateau (50,0</w:t>
      </w:r>
      <w:r>
        <w:rPr>
          <w:rFonts w:ascii="Trebuchet MS" w:hAnsi="Trebuchet MS"/>
        </w:rPr>
        <w:t xml:space="preserve">%) </w:t>
      </w:r>
      <w:r w:rsidRPr="00A67637">
        <w:rPr>
          <w:rFonts w:ascii="Trebuchet MS" w:hAnsi="Trebuchet MS"/>
        </w:rPr>
        <w:t xml:space="preserve">et </w:t>
      </w:r>
      <w:r>
        <w:rPr>
          <w:rFonts w:ascii="Trebuchet MS" w:hAnsi="Trebuchet MS"/>
        </w:rPr>
        <w:t xml:space="preserve">du </w:t>
      </w:r>
      <w:r w:rsidRPr="00A67637">
        <w:rPr>
          <w:rFonts w:ascii="Trebuchet MS" w:hAnsi="Trebuchet MS"/>
        </w:rPr>
        <w:t>Borgou (42,9%)</w:t>
      </w:r>
      <w:r>
        <w:rPr>
          <w:rFonts w:ascii="Trebuchet MS" w:hAnsi="Trebuchet MS"/>
        </w:rPr>
        <w:t xml:space="preserve"> les </w:t>
      </w:r>
      <w:r w:rsidRPr="00A67637">
        <w:rPr>
          <w:rFonts w:ascii="Trebuchet MS" w:hAnsi="Trebuchet MS"/>
        </w:rPr>
        <w:t xml:space="preserve">ménages </w:t>
      </w:r>
      <w:r>
        <w:rPr>
          <w:rFonts w:ascii="Trebuchet MS" w:hAnsi="Trebuchet MS"/>
        </w:rPr>
        <w:t xml:space="preserve">sont plus les </w:t>
      </w:r>
      <w:r w:rsidRPr="00A67637">
        <w:rPr>
          <w:rFonts w:ascii="Trebuchet MS" w:hAnsi="Trebuchet MS"/>
        </w:rPr>
        <w:t xml:space="preserve">amis </w:t>
      </w:r>
      <w:r>
        <w:rPr>
          <w:rFonts w:ascii="Trebuchet MS" w:hAnsi="Trebuchet MS"/>
        </w:rPr>
        <w:t>des</w:t>
      </w:r>
      <w:r w:rsidRPr="00A67637">
        <w:rPr>
          <w:rFonts w:ascii="Trebuchet MS" w:hAnsi="Trebuchet MS"/>
        </w:rPr>
        <w:t xml:space="preserve"> fournisseurs</w:t>
      </w:r>
      <w:r>
        <w:rPr>
          <w:rFonts w:ascii="Trebuchet MS" w:hAnsi="Trebuchet MS"/>
        </w:rPr>
        <w:t xml:space="preserve">. Le département de l’Atacora (53,3%) et caractérisé plus de la moitié des ménages qui n’ont aucune relation avec le fournisseur au </w:t>
      </w:r>
      <w:r w:rsidRPr="00A67637">
        <w:rPr>
          <w:rFonts w:ascii="Trebuchet MS" w:hAnsi="Trebuchet MS"/>
        </w:rPr>
        <w:t xml:space="preserve">moment </w:t>
      </w:r>
      <w:r w:rsidRPr="00A67637">
        <w:rPr>
          <w:rFonts w:ascii="Trebuchet MS" w:eastAsia="Times New Roman" w:hAnsi="Trebuchet MS"/>
          <w:color w:val="000000"/>
          <w:lang w:eastAsia="fr-FR"/>
        </w:rPr>
        <w:t>de raccordement au compteur.</w:t>
      </w:r>
    </w:p>
    <w:p w:rsidR="002320E0" w:rsidRPr="00A96A7D" w:rsidRDefault="002320E0" w:rsidP="002320E0">
      <w:pPr>
        <w:spacing w:after="0"/>
        <w:jc w:val="both"/>
        <w:rPr>
          <w:rFonts w:ascii="Trebuchet MS" w:hAnsi="Trebuchet MS"/>
          <w:i/>
          <w:color w:val="0070C0"/>
          <w:sz w:val="12"/>
          <w:szCs w:val="12"/>
        </w:rPr>
      </w:pPr>
    </w:p>
    <w:p w:rsidR="002320E0" w:rsidRPr="00511744" w:rsidRDefault="00511744" w:rsidP="00F03E08">
      <w:pPr>
        <w:pStyle w:val="Titre4"/>
      </w:pPr>
      <w:bookmarkStart w:id="157" w:name="_Toc426359451"/>
      <w:r>
        <w:t xml:space="preserve">2.2.2. </w:t>
      </w:r>
      <w:r w:rsidR="002320E0" w:rsidRPr="00511744">
        <w:t>Connexion des ménages à la ligne sous-traitée de la SBEE</w:t>
      </w:r>
      <w:bookmarkEnd w:id="157"/>
    </w:p>
    <w:p w:rsidR="002320E0" w:rsidRDefault="002320E0" w:rsidP="00511744">
      <w:pPr>
        <w:jc w:val="both"/>
        <w:rPr>
          <w:rFonts w:ascii="Trebuchet MS" w:hAnsi="Trebuchet MS"/>
        </w:rPr>
      </w:pPr>
      <w:r w:rsidRPr="00A67637">
        <w:rPr>
          <w:rFonts w:ascii="Trebuchet MS" w:hAnsi="Trebuchet MS"/>
        </w:rPr>
        <w:t xml:space="preserve">Au regard du tableau ci-dessus, il </w:t>
      </w:r>
      <w:r>
        <w:rPr>
          <w:rFonts w:ascii="Trebuchet MS" w:hAnsi="Trebuchet MS"/>
        </w:rPr>
        <w:t>est à</w:t>
      </w:r>
      <w:r w:rsidRPr="00A67637">
        <w:rPr>
          <w:rFonts w:ascii="Trebuchet MS" w:hAnsi="Trebuchet MS"/>
        </w:rPr>
        <w:t xml:space="preserve"> not</w:t>
      </w:r>
      <w:r>
        <w:rPr>
          <w:rFonts w:ascii="Trebuchet MS" w:hAnsi="Trebuchet MS"/>
        </w:rPr>
        <w:t xml:space="preserve">erque en moyenne 5,8 ménages sont connectés au même point de distribution. Selon le milieu de résidence </w:t>
      </w:r>
      <w:r w:rsidRPr="00A67637">
        <w:rPr>
          <w:rFonts w:ascii="Trebuchet MS" w:hAnsi="Trebuchet MS"/>
        </w:rPr>
        <w:t xml:space="preserve">le </w:t>
      </w:r>
      <w:r w:rsidRPr="00A67637">
        <w:rPr>
          <w:rFonts w:ascii="Trebuchet MS" w:eastAsia="Times New Roman" w:hAnsi="Trebuchet MS"/>
          <w:color w:val="000000"/>
          <w:lang w:eastAsia="fr-FR"/>
        </w:rPr>
        <w:t xml:space="preserve">nombre moyen d'usagers connectés au même </w:t>
      </w:r>
      <w:r>
        <w:rPr>
          <w:rFonts w:ascii="Trebuchet MS" w:hAnsi="Trebuchet MS"/>
        </w:rPr>
        <w:t>point de distribution</w:t>
      </w:r>
      <w:r w:rsidRPr="00A67637">
        <w:rPr>
          <w:rFonts w:ascii="Trebuchet MS" w:eastAsia="Times New Roman" w:hAnsi="Trebuchet MS"/>
          <w:color w:val="000000"/>
          <w:lang w:eastAsia="fr-FR"/>
        </w:rPr>
        <w:t xml:space="preserve"> de la ligne sous-traité de la SBEE varie très peu, ce nombre est </w:t>
      </w:r>
      <w:r>
        <w:rPr>
          <w:rFonts w:ascii="Trebuchet MS" w:eastAsia="Times New Roman" w:hAnsi="Trebuchet MS"/>
          <w:color w:val="000000"/>
          <w:lang w:eastAsia="fr-FR"/>
        </w:rPr>
        <w:t xml:space="preserve">estimé à </w:t>
      </w:r>
      <w:r w:rsidRPr="00A67637">
        <w:rPr>
          <w:rFonts w:ascii="Trebuchet MS" w:eastAsia="Times New Roman" w:hAnsi="Trebuchet MS"/>
          <w:color w:val="000000"/>
          <w:lang w:eastAsia="fr-FR"/>
        </w:rPr>
        <w:t>5,7 en milieu urbain contre 5,8 en milieu rural.</w:t>
      </w:r>
    </w:p>
    <w:p w:rsidR="00511744" w:rsidRPr="00511744" w:rsidRDefault="00511744" w:rsidP="005B705F">
      <w:pPr>
        <w:keepNext/>
        <w:spacing w:after="0" w:line="240" w:lineRule="auto"/>
        <w:jc w:val="both"/>
        <w:rPr>
          <w:rFonts w:ascii="Trebuchet MS" w:hAnsi="Trebuchet MS"/>
          <w:b/>
        </w:rPr>
      </w:pPr>
      <w:bookmarkStart w:id="158" w:name="_Toc426359342"/>
      <w:r w:rsidRPr="00511744">
        <w:rPr>
          <w:rFonts w:ascii="Trebuchet MS" w:hAnsi="Trebuchet MS"/>
          <w:b/>
          <w:sz w:val="20"/>
        </w:rPr>
        <w:t xml:space="preserve">Tableau </w:t>
      </w:r>
      <w:r w:rsidR="00792500" w:rsidRPr="00511744">
        <w:rPr>
          <w:rFonts w:ascii="Trebuchet MS" w:hAnsi="Trebuchet MS"/>
          <w:b/>
          <w:sz w:val="20"/>
        </w:rPr>
        <w:fldChar w:fldCharType="begin"/>
      </w:r>
      <w:r w:rsidRPr="00511744">
        <w:rPr>
          <w:rFonts w:ascii="Trebuchet MS" w:hAnsi="Trebuchet MS"/>
          <w:b/>
          <w:sz w:val="20"/>
        </w:rPr>
        <w:instrText xml:space="preserve"> SEQ Tableau \* ARABIC </w:instrText>
      </w:r>
      <w:r w:rsidR="00792500" w:rsidRPr="00511744">
        <w:rPr>
          <w:rFonts w:ascii="Trebuchet MS" w:hAnsi="Trebuchet MS"/>
          <w:b/>
          <w:sz w:val="20"/>
        </w:rPr>
        <w:fldChar w:fldCharType="separate"/>
      </w:r>
      <w:r w:rsidR="00556962">
        <w:rPr>
          <w:rFonts w:ascii="Trebuchet MS" w:hAnsi="Trebuchet MS"/>
          <w:b/>
          <w:noProof/>
          <w:sz w:val="20"/>
        </w:rPr>
        <w:t>23</w:t>
      </w:r>
      <w:r w:rsidR="00792500" w:rsidRPr="00511744">
        <w:rPr>
          <w:rFonts w:ascii="Trebuchet MS" w:hAnsi="Trebuchet MS"/>
          <w:b/>
          <w:sz w:val="20"/>
        </w:rPr>
        <w:fldChar w:fldCharType="end"/>
      </w:r>
      <w:r w:rsidRPr="00511744">
        <w:rPr>
          <w:rFonts w:ascii="Trebuchet MS" w:hAnsi="Trebuchet MS"/>
          <w:b/>
          <w:sz w:val="20"/>
        </w:rPr>
        <w:t xml:space="preserve">: </w:t>
      </w:r>
      <w:r w:rsidRPr="00511744">
        <w:rPr>
          <w:rFonts w:ascii="Trebuchet MS" w:eastAsia="Times New Roman" w:hAnsi="Trebuchet MS"/>
          <w:b/>
          <w:color w:val="000000"/>
          <w:sz w:val="20"/>
          <w:lang w:eastAsia="fr-FR"/>
        </w:rPr>
        <w:t>Nombre moyen d'usagers connectés au compteur sous-traité du ménage et Pourcentage de ménages  selon la nature de la relation qui liait la majorité des usagers au ménage au moment du raccordement au compteur</w:t>
      </w:r>
      <w:bookmarkEnd w:id="158"/>
    </w:p>
    <w:tbl>
      <w:tblPr>
        <w:tblW w:w="5118"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914"/>
        <w:gridCol w:w="1277"/>
        <w:gridCol w:w="1416"/>
        <w:gridCol w:w="1277"/>
        <w:gridCol w:w="1135"/>
        <w:gridCol w:w="1277"/>
        <w:gridCol w:w="1133"/>
      </w:tblGrid>
      <w:tr w:rsidR="002320E0" w:rsidRPr="00511744" w:rsidTr="00511744">
        <w:trPr>
          <w:trHeight w:val="300"/>
        </w:trPr>
        <w:tc>
          <w:tcPr>
            <w:tcW w:w="1015" w:type="pct"/>
            <w:tcBorders>
              <w:top w:val="doub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p>
        </w:tc>
        <w:tc>
          <w:tcPr>
            <w:tcW w:w="3985" w:type="pct"/>
            <w:gridSpan w:val="6"/>
            <w:tcBorders>
              <w:top w:val="doub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Connexion des ménages à la ligne sous-traitée de la SBEE</w:t>
            </w:r>
          </w:p>
        </w:tc>
      </w:tr>
      <w:tr w:rsidR="002320E0" w:rsidRPr="00511744" w:rsidTr="00511744">
        <w:trPr>
          <w:trHeight w:val="885"/>
        </w:trPr>
        <w:tc>
          <w:tcPr>
            <w:tcW w:w="1015" w:type="pct"/>
            <w:vMerge w:val="restart"/>
            <w:tcBorders>
              <w:top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r w:rsidRPr="00511744">
              <w:rPr>
                <w:rFonts w:ascii="Trebuchet MS" w:eastAsia="Times New Roman" w:hAnsi="Trebuchet MS"/>
                <w:color w:val="000000"/>
                <w:lang w:eastAsia="fr-FR"/>
              </w:rPr>
              <w:t> </w:t>
            </w:r>
          </w:p>
          <w:p w:rsidR="002320E0" w:rsidRPr="00511744" w:rsidRDefault="002320E0" w:rsidP="005B705F">
            <w:pPr>
              <w:keepNext/>
              <w:rPr>
                <w:rFonts w:ascii="Trebuchet MS" w:eastAsia="Times New Roman" w:hAnsi="Trebuchet MS"/>
                <w:color w:val="000000"/>
                <w:lang w:eastAsia="fr-FR"/>
              </w:rPr>
            </w:pPr>
            <w:r w:rsidRPr="00511744">
              <w:rPr>
                <w:rFonts w:ascii="Trebuchet MS" w:eastAsia="Times New Roman" w:hAnsi="Trebuchet MS"/>
                <w:color w:val="000000"/>
                <w:lang w:eastAsia="fr-FR"/>
              </w:rPr>
              <w:t> </w:t>
            </w:r>
          </w:p>
        </w:tc>
        <w:tc>
          <w:tcPr>
            <w:tcW w:w="677" w:type="pct"/>
            <w:vMerge w:val="restart"/>
            <w:tcBorders>
              <w:top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Nombre moyen d'usagers connectés au même compteur</w:t>
            </w:r>
          </w:p>
        </w:tc>
        <w:tc>
          <w:tcPr>
            <w:tcW w:w="2707" w:type="pct"/>
            <w:gridSpan w:val="4"/>
            <w:tcBorders>
              <w:top w:val="sing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Pourcentage de ménages selon la nature de la relation qui liait le ménage au fournisseur au moment de raccordement au compteur  de ce dernier</w:t>
            </w:r>
          </w:p>
        </w:tc>
        <w:tc>
          <w:tcPr>
            <w:tcW w:w="601" w:type="pct"/>
            <w:vMerge w:val="restart"/>
            <w:tcBorders>
              <w:top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Effectif de ménages connectés à la ligne sous-traitée de la SBEE</w:t>
            </w:r>
          </w:p>
        </w:tc>
      </w:tr>
      <w:tr w:rsidR="002320E0" w:rsidRPr="00511744" w:rsidTr="00511744">
        <w:trPr>
          <w:trHeight w:val="870"/>
        </w:trPr>
        <w:tc>
          <w:tcPr>
            <w:tcW w:w="1015" w:type="pct"/>
            <w:vMerge/>
            <w:tcBorders>
              <w:bottom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p>
        </w:tc>
        <w:tc>
          <w:tcPr>
            <w:tcW w:w="677" w:type="pct"/>
            <w:vMerge/>
            <w:tcBorders>
              <w:bottom w:val="single" w:sz="4" w:space="0" w:color="auto"/>
            </w:tcBorders>
            <w:shd w:val="clear" w:color="auto" w:fill="auto"/>
            <w:vAlign w:val="center"/>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751"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Parent</w:t>
            </w:r>
          </w:p>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/Epoux</w:t>
            </w:r>
          </w:p>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/Epouse</w:t>
            </w:r>
          </w:p>
        </w:tc>
        <w:tc>
          <w:tcPr>
            <w:tcW w:w="677"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Ami</w:t>
            </w:r>
          </w:p>
        </w:tc>
        <w:tc>
          <w:tcPr>
            <w:tcW w:w="602"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Aucune relation</w:t>
            </w:r>
          </w:p>
        </w:tc>
        <w:tc>
          <w:tcPr>
            <w:tcW w:w="677"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Autre</w:t>
            </w:r>
          </w:p>
        </w:tc>
        <w:tc>
          <w:tcPr>
            <w:tcW w:w="601" w:type="pct"/>
            <w:vMerge/>
            <w:tcBorders>
              <w:bottom w:val="single" w:sz="4" w:space="0" w:color="auto"/>
            </w:tcBorders>
            <w:shd w:val="clear" w:color="auto" w:fill="auto"/>
            <w:vAlign w:val="center"/>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tcBorders>
              <w:top w:val="single" w:sz="4" w:space="0" w:color="auto"/>
              <w:bottom w:val="nil"/>
            </w:tcBorders>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Milieu de résidence</w:t>
            </w: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751"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02"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01"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tcBorders>
              <w:top w:val="nil"/>
            </w:tcBorders>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Urbain</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5,7</w:t>
            </w:r>
          </w:p>
        </w:tc>
        <w:tc>
          <w:tcPr>
            <w:tcW w:w="751"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26,2</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22,5</w:t>
            </w:r>
          </w:p>
        </w:tc>
        <w:tc>
          <w:tcPr>
            <w:tcW w:w="602"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43,9</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7,4</w:t>
            </w:r>
          </w:p>
        </w:tc>
        <w:tc>
          <w:tcPr>
            <w:tcW w:w="601"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138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Rural</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37,7</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24,1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32,5</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5,8</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289</w:t>
            </w:r>
          </w:p>
        </w:tc>
      </w:tr>
      <w:tr w:rsidR="002320E0" w:rsidRPr="00511744" w:rsidTr="00511744">
        <w:trPr>
          <w:trHeight w:val="300"/>
        </w:trPr>
        <w:tc>
          <w:tcPr>
            <w:tcW w:w="1015" w:type="pct"/>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 xml:space="preserve">Département </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ALIBORI</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4,3</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20,0</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40</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ATACORA</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34,8</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34,8</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ATLANTIQUE</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6,5</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22,1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44,2</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43</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BORGOU</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11,2</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77,8</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11,1</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41</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COLLINES</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7,6</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50,9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10,9</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58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COUFFO</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30,0</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14</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DONGA</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4,6</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41,9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32,3</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19,4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6,5</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25</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LITTORAL</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6,0</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28,9</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53,3</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8,9</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16</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MONO</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6,0</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22,9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18,8</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22</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OUEME</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4,9</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28,1</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31,3</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31,3</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9,4</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73</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PLATEAU</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23,1</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38,5</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38,5</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34</w:t>
            </w:r>
          </w:p>
        </w:tc>
      </w:tr>
      <w:tr w:rsidR="002320E0" w:rsidRPr="00511744" w:rsidTr="00511744">
        <w:trPr>
          <w:trHeight w:val="300"/>
        </w:trPr>
        <w:tc>
          <w:tcPr>
            <w:tcW w:w="1015"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ZOU</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4,3</w:t>
            </w:r>
          </w:p>
        </w:tc>
        <w:tc>
          <w:tcPr>
            <w:tcW w:w="751"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33,3</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16,7</w:t>
            </w:r>
          </w:p>
        </w:tc>
        <w:tc>
          <w:tcPr>
            <w:tcW w:w="602"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38,3</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11,7</w:t>
            </w:r>
          </w:p>
        </w:tc>
        <w:tc>
          <w:tcPr>
            <w:tcW w:w="601"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13</w:t>
            </w:r>
          </w:p>
        </w:tc>
      </w:tr>
      <w:tr w:rsidR="002320E0" w:rsidRPr="00511744" w:rsidTr="00511744">
        <w:trPr>
          <w:trHeight w:val="300"/>
        </w:trPr>
        <w:tc>
          <w:tcPr>
            <w:tcW w:w="1015" w:type="pct"/>
            <w:tcBorders>
              <w:top w:val="single" w:sz="4" w:space="0" w:color="auto"/>
              <w:bottom w:val="double" w:sz="4" w:space="0" w:color="auto"/>
            </w:tcBorders>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Ensemble</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5,8</w:t>
            </w:r>
          </w:p>
        </w:tc>
        <w:tc>
          <w:tcPr>
            <w:tcW w:w="75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31,3</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23,2</w:t>
            </w:r>
          </w:p>
        </w:tc>
        <w:tc>
          <w:tcPr>
            <w:tcW w:w="602"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38,9</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6,7</w:t>
            </w:r>
          </w:p>
        </w:tc>
        <w:tc>
          <w:tcPr>
            <w:tcW w:w="60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427</w:t>
            </w:r>
          </w:p>
        </w:tc>
      </w:tr>
      <w:tr w:rsidR="002320E0" w:rsidRPr="00511744" w:rsidTr="00511744">
        <w:tblPrEx>
          <w:tblBorders>
            <w:top w:val="none" w:sz="0" w:space="0" w:color="auto"/>
            <w:bottom w:val="none" w:sz="0" w:space="0" w:color="auto"/>
          </w:tblBorders>
        </w:tblPrEx>
        <w:trPr>
          <w:trHeight w:val="300"/>
        </w:trPr>
        <w:tc>
          <w:tcPr>
            <w:tcW w:w="5000" w:type="pct"/>
            <w:gridSpan w:val="7"/>
            <w:shd w:val="clear" w:color="auto" w:fill="auto"/>
            <w:noWrap/>
            <w:vAlign w:val="bottom"/>
            <w:hideMark/>
          </w:tcPr>
          <w:p w:rsidR="00D072F7" w:rsidRPr="00D072F7" w:rsidRDefault="00D072F7" w:rsidP="005B705F">
            <w:pPr>
              <w:keepNext/>
              <w:spacing w:after="0"/>
              <w:rPr>
                <w:rFonts w:ascii="Trebuchet MS" w:hAnsi="Trebuchet MS" w:cs="Arial"/>
                <w:b/>
                <w:bCs/>
                <w:color w:val="000000"/>
                <w:sz w:val="6"/>
              </w:rPr>
            </w:pPr>
          </w:p>
          <w:p w:rsidR="002320E0" w:rsidRPr="00D072F7" w:rsidRDefault="002320E0" w:rsidP="005B705F">
            <w:pPr>
              <w:keepNext/>
              <w:rPr>
                <w:rFonts w:ascii="Trebuchet MS" w:eastAsia="Times New Roman" w:hAnsi="Trebuchet MS"/>
                <w:b/>
                <w:color w:val="000000"/>
                <w:lang w:eastAsia="fr-FR"/>
              </w:rPr>
            </w:pPr>
            <w:r w:rsidRPr="00D072F7">
              <w:rPr>
                <w:rFonts w:ascii="Trebuchet MS" w:hAnsi="Trebuchet MS" w:cs="Arial"/>
                <w:b/>
                <w:bCs/>
                <w:color w:val="000000"/>
                <w:sz w:val="20"/>
              </w:rPr>
              <w:t>Source : ECEB, INSAE, 2015</w:t>
            </w:r>
          </w:p>
        </w:tc>
      </w:tr>
    </w:tbl>
    <w:p w:rsidR="002320E0" w:rsidRDefault="002320E0" w:rsidP="00511744">
      <w:pPr>
        <w:spacing w:before="240"/>
        <w:jc w:val="both"/>
        <w:rPr>
          <w:rFonts w:ascii="Trebuchet MS" w:hAnsi="Trebuchet MS"/>
        </w:rPr>
      </w:pPr>
      <w:r>
        <w:rPr>
          <w:rFonts w:ascii="Trebuchet MS" w:hAnsi="Trebuchet MS"/>
        </w:rPr>
        <w:t>L’analyse selon le département indique que, l</w:t>
      </w:r>
      <w:r w:rsidRPr="00A67637">
        <w:rPr>
          <w:rFonts w:ascii="Trebuchet MS" w:hAnsi="Trebuchet MS"/>
        </w:rPr>
        <w:t xml:space="preserve">e nombre moyen d’usagers connectés au même compteur </w:t>
      </w:r>
      <w:r>
        <w:rPr>
          <w:rFonts w:ascii="Trebuchet MS" w:hAnsi="Trebuchet MS"/>
        </w:rPr>
        <w:t xml:space="preserve">sous-traité </w:t>
      </w:r>
      <w:r w:rsidRPr="00A67637">
        <w:rPr>
          <w:rFonts w:ascii="Trebuchet MS" w:hAnsi="Trebuchet MS"/>
        </w:rPr>
        <w:t>est compris entre 4,3 (Alibori et Zou) et 11,2 (Borgou).</w:t>
      </w:r>
    </w:p>
    <w:p w:rsidR="002320E0" w:rsidRPr="00A67637" w:rsidRDefault="002320E0" w:rsidP="00511744">
      <w:pPr>
        <w:jc w:val="both"/>
        <w:rPr>
          <w:rFonts w:ascii="Trebuchet MS" w:hAnsi="Trebuchet MS"/>
          <w:lang w:eastAsia="fr-FR"/>
        </w:rPr>
      </w:pPr>
      <w:r w:rsidRPr="00A67637">
        <w:rPr>
          <w:rFonts w:ascii="Trebuchet MS" w:eastAsia="Times New Roman" w:hAnsi="Trebuchet MS"/>
          <w:color w:val="000000"/>
          <w:lang w:eastAsia="fr-FR"/>
        </w:rPr>
        <w:t>Au moment d</w:t>
      </w:r>
      <w:r>
        <w:rPr>
          <w:rFonts w:ascii="Trebuchet MS" w:eastAsia="Times New Roman" w:hAnsi="Trebuchet MS"/>
          <w:color w:val="000000"/>
          <w:lang w:eastAsia="fr-FR"/>
        </w:rPr>
        <w:t>u</w:t>
      </w:r>
      <w:r w:rsidRPr="00A67637">
        <w:rPr>
          <w:rFonts w:ascii="Trebuchet MS" w:eastAsia="Times New Roman" w:hAnsi="Trebuchet MS"/>
          <w:color w:val="000000"/>
          <w:lang w:eastAsia="fr-FR"/>
        </w:rPr>
        <w:t xml:space="preserve"> raccordement </w:t>
      </w:r>
      <w:r>
        <w:rPr>
          <w:rFonts w:ascii="Trebuchet MS" w:eastAsia="Times New Roman" w:hAnsi="Trebuchet MS"/>
          <w:color w:val="000000"/>
          <w:lang w:eastAsia="fr-FR"/>
        </w:rPr>
        <w:t xml:space="preserve">à la ligne sous-traitée, les </w:t>
      </w:r>
      <w:r w:rsidRPr="00A67637">
        <w:rPr>
          <w:rFonts w:ascii="Trebuchet MS" w:hAnsi="Trebuchet MS"/>
        </w:rPr>
        <w:t xml:space="preserve">ménages </w:t>
      </w:r>
      <w:r>
        <w:rPr>
          <w:rFonts w:ascii="Trebuchet MS" w:hAnsi="Trebuchet MS"/>
        </w:rPr>
        <w:t>sont pour la plupart ou sans aucune relation (38,9%), pa</w:t>
      </w:r>
      <w:r w:rsidRPr="00A67637">
        <w:rPr>
          <w:rFonts w:ascii="Trebuchet MS" w:hAnsi="Trebuchet MS"/>
        </w:rPr>
        <w:t>rent</w:t>
      </w:r>
      <w:r>
        <w:rPr>
          <w:rFonts w:ascii="Trebuchet MS" w:hAnsi="Trebuchet MS"/>
        </w:rPr>
        <w:t xml:space="preserve">/époux/épouse (31,3%) et amis (23,2%) avec le fournisseur. Dans </w:t>
      </w:r>
      <w:r w:rsidRPr="00A67637">
        <w:rPr>
          <w:rFonts w:ascii="Trebuchet MS" w:hAnsi="Trebuchet MS"/>
        </w:rPr>
        <w:t>les départements d</w:t>
      </w:r>
      <w:r>
        <w:rPr>
          <w:rFonts w:ascii="Trebuchet MS" w:hAnsi="Trebuchet MS"/>
        </w:rPr>
        <w:t>e l</w:t>
      </w:r>
      <w:r w:rsidRPr="00A67637">
        <w:rPr>
          <w:rFonts w:ascii="Trebuchet MS" w:hAnsi="Trebuchet MS"/>
        </w:rPr>
        <w:t xml:space="preserve">’Alibori (70,0%), </w:t>
      </w:r>
      <w:r>
        <w:rPr>
          <w:rFonts w:ascii="Trebuchet MS" w:hAnsi="Trebuchet MS"/>
        </w:rPr>
        <w:t xml:space="preserve">des </w:t>
      </w:r>
      <w:r w:rsidRPr="00A67637">
        <w:rPr>
          <w:rFonts w:ascii="Trebuchet MS" w:hAnsi="Trebuchet MS"/>
        </w:rPr>
        <w:t>Collines (50,9%),</w:t>
      </w:r>
      <w:r>
        <w:rPr>
          <w:rFonts w:ascii="Trebuchet MS" w:hAnsi="Trebuchet MS"/>
        </w:rPr>
        <w:t xml:space="preserve"> du</w:t>
      </w:r>
      <w:r w:rsidRPr="00A67637">
        <w:rPr>
          <w:rFonts w:ascii="Trebuchet MS" w:hAnsi="Trebuchet MS"/>
        </w:rPr>
        <w:t>Couffo (40,0%) et</w:t>
      </w:r>
      <w:r>
        <w:rPr>
          <w:rFonts w:ascii="Trebuchet MS" w:hAnsi="Trebuchet MS"/>
        </w:rPr>
        <w:t xml:space="preserve"> de la  </w:t>
      </w:r>
      <w:r w:rsidRPr="00A67637">
        <w:rPr>
          <w:rFonts w:ascii="Trebuchet MS" w:hAnsi="Trebuchet MS"/>
        </w:rPr>
        <w:t>Donga (41,9%)</w:t>
      </w:r>
      <w:r>
        <w:rPr>
          <w:rFonts w:ascii="Trebuchet MS" w:hAnsi="Trebuchet MS"/>
        </w:rPr>
        <w:t>, les ménages sont en grande partie pa</w:t>
      </w:r>
      <w:r w:rsidRPr="00A67637">
        <w:rPr>
          <w:rFonts w:ascii="Trebuchet MS" w:hAnsi="Trebuchet MS"/>
        </w:rPr>
        <w:t>rent</w:t>
      </w:r>
      <w:r>
        <w:rPr>
          <w:rFonts w:ascii="Trebuchet MS" w:hAnsi="Trebuchet MS"/>
        </w:rPr>
        <w:t>/époux/épouse au fournisseur</w:t>
      </w:r>
      <w:r w:rsidRPr="00A67637">
        <w:rPr>
          <w:rFonts w:ascii="Trebuchet MS" w:hAnsi="Trebuchet MS"/>
        </w:rPr>
        <w:t>.</w:t>
      </w:r>
      <w:r>
        <w:rPr>
          <w:rFonts w:ascii="Trebuchet MS" w:hAnsi="Trebuchet MS"/>
        </w:rPr>
        <w:t xml:space="preserve"> Par contre dans </w:t>
      </w:r>
      <w:r w:rsidRPr="00A67637">
        <w:rPr>
          <w:rFonts w:ascii="Trebuchet MS" w:hAnsi="Trebuchet MS"/>
        </w:rPr>
        <w:t>le</w:t>
      </w:r>
      <w:r>
        <w:rPr>
          <w:rFonts w:ascii="Trebuchet MS" w:hAnsi="Trebuchet MS"/>
        </w:rPr>
        <w:t>sdépartements de Borgou (77,8%), du L</w:t>
      </w:r>
      <w:r w:rsidRPr="00A67637">
        <w:rPr>
          <w:rFonts w:ascii="Trebuchet MS" w:hAnsi="Trebuchet MS"/>
        </w:rPr>
        <w:t>ittoral (53,3%), Mono (50,0%)</w:t>
      </w:r>
      <w:r>
        <w:rPr>
          <w:rFonts w:ascii="Trebuchet MS" w:hAnsi="Trebuchet MS"/>
        </w:rPr>
        <w:t xml:space="preserve"> et de l’Atlantique (44,2%), les ménages connectés à la ligne sous-traitée </w:t>
      </w:r>
      <w:r w:rsidRPr="00A67637">
        <w:rPr>
          <w:rFonts w:ascii="Trebuchet MS" w:hAnsi="Trebuchet MS"/>
        </w:rPr>
        <w:t>n’</w:t>
      </w:r>
      <w:r>
        <w:rPr>
          <w:rFonts w:ascii="Trebuchet MS" w:hAnsi="Trebuchet MS"/>
        </w:rPr>
        <w:t>ont</w:t>
      </w:r>
      <w:r w:rsidRPr="00A67637">
        <w:rPr>
          <w:rFonts w:ascii="Trebuchet MS" w:hAnsi="Trebuchet MS"/>
        </w:rPr>
        <w:t xml:space="preserve"> aucune relation </w:t>
      </w:r>
      <w:r>
        <w:rPr>
          <w:rFonts w:ascii="Trebuchet MS" w:hAnsi="Trebuchet MS"/>
        </w:rPr>
        <w:t>avec leurs fo</w:t>
      </w:r>
      <w:r w:rsidRPr="00A67637">
        <w:rPr>
          <w:rFonts w:ascii="Trebuchet MS" w:hAnsi="Trebuchet MS"/>
        </w:rPr>
        <w:t xml:space="preserve">urnisseursau moment </w:t>
      </w:r>
      <w:r w:rsidRPr="00A67637">
        <w:rPr>
          <w:rFonts w:ascii="Trebuchet MS" w:eastAsia="Times New Roman" w:hAnsi="Trebuchet MS"/>
          <w:color w:val="000000"/>
          <w:lang w:eastAsia="fr-FR"/>
        </w:rPr>
        <w:t>de raccordement.</w:t>
      </w:r>
    </w:p>
    <w:p w:rsidR="002320E0" w:rsidRDefault="00F03E08" w:rsidP="00F03E08">
      <w:pPr>
        <w:pStyle w:val="Titre4"/>
      </w:pPr>
      <w:bookmarkStart w:id="159" w:name="_Toc426359452"/>
      <w:r>
        <w:t>2.2.3. Redi</w:t>
      </w:r>
      <w:r w:rsidR="002320E0">
        <w:t xml:space="preserve">stribution de l’électricité </w:t>
      </w:r>
      <w:r>
        <w:t>par les ménages connectés à la ligne sous-traitée</w:t>
      </w:r>
      <w:bookmarkEnd w:id="159"/>
    </w:p>
    <w:p w:rsidR="002320E0" w:rsidRDefault="002320E0" w:rsidP="005F07C4">
      <w:pPr>
        <w:jc w:val="both"/>
        <w:rPr>
          <w:rFonts w:ascii="Trebuchet MS" w:hAnsi="Trebuchet MS"/>
        </w:rPr>
      </w:pPr>
      <w:r w:rsidRPr="00F0412C">
        <w:rPr>
          <w:rFonts w:ascii="Trebuchet MS" w:hAnsi="Trebuchet MS"/>
        </w:rPr>
        <w:t xml:space="preserve">Au regard du tableau ci-dessus, il </w:t>
      </w:r>
      <w:r>
        <w:rPr>
          <w:rFonts w:ascii="Trebuchet MS" w:hAnsi="Trebuchet MS"/>
        </w:rPr>
        <w:t xml:space="preserve">ressort que très peu de ménages connectés à la ligne sous-traitée de la SBEE (4,2%) distribuent de l’électricité à d’autres usagers. </w:t>
      </w:r>
      <w:r w:rsidR="005F07C4">
        <w:rPr>
          <w:rFonts w:ascii="Trebuchet MS" w:hAnsi="Trebuchet MS"/>
        </w:rPr>
        <w:t>Toutefois</w:t>
      </w:r>
      <w:r>
        <w:rPr>
          <w:rFonts w:ascii="Trebuchet MS" w:hAnsi="Trebuchet MS"/>
        </w:rPr>
        <w:t xml:space="preserve">, </w:t>
      </w:r>
      <w:r w:rsidRPr="00F0412C">
        <w:rPr>
          <w:rFonts w:ascii="Trebuchet MS" w:hAnsi="Trebuchet MS"/>
        </w:rPr>
        <w:t>les ménages dis</w:t>
      </w:r>
      <w:r>
        <w:rPr>
          <w:rFonts w:ascii="Trebuchet MS" w:hAnsi="Trebuchet MS"/>
        </w:rPr>
        <w:t xml:space="preserve">tribuent plus de l’énergie en </w:t>
      </w:r>
      <w:r w:rsidRPr="00F0412C">
        <w:rPr>
          <w:rFonts w:ascii="Trebuchet MS" w:hAnsi="Trebuchet MS"/>
        </w:rPr>
        <w:t xml:space="preserve">milieu rural (5,4%) </w:t>
      </w:r>
      <w:r>
        <w:rPr>
          <w:rFonts w:ascii="Trebuchet MS" w:hAnsi="Trebuchet MS"/>
        </w:rPr>
        <w:t xml:space="preserve">qu’en milieu </w:t>
      </w:r>
      <w:r w:rsidRPr="00F0412C">
        <w:rPr>
          <w:rFonts w:ascii="Trebuchet MS" w:hAnsi="Trebuchet MS"/>
        </w:rPr>
        <w:t>urbain (3,3%)</w:t>
      </w:r>
      <w:r>
        <w:rPr>
          <w:rFonts w:ascii="Trebuchet MS" w:hAnsi="Trebuchet MS"/>
        </w:rPr>
        <w:t>.</w:t>
      </w:r>
    </w:p>
    <w:p w:rsidR="00BD6795" w:rsidRPr="00BD6795" w:rsidRDefault="00BD6795" w:rsidP="005B705F">
      <w:pPr>
        <w:keepNext/>
        <w:spacing w:after="0" w:line="240" w:lineRule="auto"/>
        <w:jc w:val="both"/>
        <w:rPr>
          <w:rFonts w:ascii="Trebuchet MS" w:hAnsi="Trebuchet MS"/>
          <w:b/>
        </w:rPr>
      </w:pPr>
      <w:bookmarkStart w:id="160" w:name="_Toc426359343"/>
      <w:r w:rsidRPr="00BD6795">
        <w:rPr>
          <w:rFonts w:ascii="Trebuchet MS" w:eastAsia="Times New Roman" w:hAnsi="Trebuchet MS"/>
          <w:b/>
          <w:color w:val="000000"/>
          <w:sz w:val="20"/>
          <w:lang w:eastAsia="fr-FR"/>
        </w:rPr>
        <w:t xml:space="preserve">Tableau </w:t>
      </w:r>
      <w:r w:rsidR="00792500" w:rsidRPr="00BD6795">
        <w:rPr>
          <w:rFonts w:ascii="Trebuchet MS" w:eastAsia="Times New Roman" w:hAnsi="Trebuchet MS"/>
          <w:b/>
          <w:color w:val="000000"/>
          <w:sz w:val="20"/>
          <w:lang w:eastAsia="fr-FR"/>
        </w:rPr>
        <w:fldChar w:fldCharType="begin"/>
      </w:r>
      <w:r w:rsidRPr="00BD6795">
        <w:rPr>
          <w:rFonts w:ascii="Trebuchet MS" w:eastAsia="Times New Roman" w:hAnsi="Trebuchet MS"/>
          <w:b/>
          <w:color w:val="000000"/>
          <w:sz w:val="20"/>
          <w:lang w:eastAsia="fr-FR"/>
        </w:rPr>
        <w:instrText xml:space="preserve"> SEQ Tableau \* ARABIC </w:instrText>
      </w:r>
      <w:r w:rsidR="00792500" w:rsidRPr="00BD6795">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24</w:t>
      </w:r>
      <w:r w:rsidR="00792500" w:rsidRPr="00BD6795">
        <w:rPr>
          <w:rFonts w:ascii="Trebuchet MS" w:eastAsia="Times New Roman" w:hAnsi="Trebuchet MS"/>
          <w:b/>
          <w:color w:val="000000"/>
          <w:sz w:val="20"/>
          <w:lang w:eastAsia="fr-FR"/>
        </w:rPr>
        <w:fldChar w:fldCharType="end"/>
      </w:r>
      <w:r w:rsidRPr="00BD6795">
        <w:rPr>
          <w:rFonts w:ascii="Trebuchet MS" w:eastAsia="Times New Roman" w:hAnsi="Trebuchet MS"/>
          <w:b/>
          <w:color w:val="000000"/>
          <w:sz w:val="20"/>
          <w:lang w:eastAsia="fr-FR"/>
        </w:rPr>
        <w:t>: Pourcentage de ménages ayant distribué de l'énergie à d'autres usagers à partir de leur point d'alimentation, Nombre moyen d'usagers connectés au point d'alimentation du ménage et Pourcentage de ménages  selon la nature de la relation qui liait la majorité des usagers au ménage au moment du raccordement au point d’alimentation du ménage</w:t>
      </w:r>
      <w:bookmarkEnd w:id="160"/>
    </w:p>
    <w:tbl>
      <w:tblPr>
        <w:tblW w:w="5040"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912"/>
        <w:gridCol w:w="1701"/>
        <w:gridCol w:w="1135"/>
        <w:gridCol w:w="1278"/>
        <w:gridCol w:w="1016"/>
        <w:gridCol w:w="1029"/>
        <w:gridCol w:w="1215"/>
      </w:tblGrid>
      <w:tr w:rsidR="002320E0" w:rsidRPr="00BD6795" w:rsidTr="00BD6795">
        <w:trPr>
          <w:trHeight w:val="885"/>
        </w:trPr>
        <w:tc>
          <w:tcPr>
            <w:tcW w:w="1030" w:type="pct"/>
            <w:vMerge w:val="restart"/>
            <w:tcBorders>
              <w:top w:val="double" w:sz="4" w:space="0" w:color="auto"/>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color w:val="000000"/>
                <w:lang w:eastAsia="fr-FR"/>
              </w:rPr>
            </w:pPr>
            <w:r w:rsidRPr="00BD6795">
              <w:rPr>
                <w:rFonts w:ascii="Trebuchet MS" w:eastAsia="Times New Roman" w:hAnsi="Trebuchet MS"/>
                <w:color w:val="000000"/>
                <w:lang w:eastAsia="fr-FR"/>
              </w:rPr>
              <w:t> </w:t>
            </w:r>
          </w:p>
          <w:p w:rsidR="002320E0" w:rsidRPr="00BD6795" w:rsidRDefault="002320E0" w:rsidP="005B705F">
            <w:pPr>
              <w:keepNext/>
              <w:rPr>
                <w:rFonts w:ascii="Trebuchet MS" w:eastAsia="Times New Roman" w:hAnsi="Trebuchet MS"/>
                <w:color w:val="000000"/>
                <w:lang w:eastAsia="fr-FR"/>
              </w:rPr>
            </w:pPr>
            <w:r w:rsidRPr="00BD6795">
              <w:rPr>
                <w:rFonts w:ascii="Trebuchet MS" w:eastAsia="Times New Roman" w:hAnsi="Trebuchet MS"/>
                <w:color w:val="000000"/>
                <w:lang w:eastAsia="fr-FR"/>
              </w:rPr>
              <w:t> </w:t>
            </w:r>
          </w:p>
        </w:tc>
        <w:tc>
          <w:tcPr>
            <w:tcW w:w="916" w:type="pct"/>
            <w:vMerge w:val="restart"/>
            <w:tcBorders>
              <w:top w:val="doub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Pourcentage de ménages ayant distribué de l'énergie à d'autres usagers à partir de leur point d'alimentation</w:t>
            </w:r>
          </w:p>
        </w:tc>
        <w:tc>
          <w:tcPr>
            <w:tcW w:w="611" w:type="pct"/>
            <w:vMerge w:val="restart"/>
            <w:tcBorders>
              <w:top w:val="doub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Nombre moyen d'usagers connectés au point d'alimentation du ménage</w:t>
            </w:r>
          </w:p>
        </w:tc>
        <w:tc>
          <w:tcPr>
            <w:tcW w:w="2443" w:type="pct"/>
            <w:gridSpan w:val="4"/>
            <w:tcBorders>
              <w:top w:val="double" w:sz="4" w:space="0" w:color="auto"/>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Pourcentage de ménages  selon la nature de la relation qui liait le ménage à la majorité des usagers au moment du raccordement au point d’alimentation du ménage</w:t>
            </w:r>
          </w:p>
        </w:tc>
      </w:tr>
      <w:tr w:rsidR="002320E0" w:rsidRPr="00BD6795" w:rsidTr="00BD6795">
        <w:trPr>
          <w:trHeight w:val="794"/>
        </w:trPr>
        <w:tc>
          <w:tcPr>
            <w:tcW w:w="1030" w:type="pct"/>
            <w:vMerge/>
            <w:tcBorders>
              <w:bottom w:val="single" w:sz="4" w:space="0" w:color="auto"/>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color w:val="000000"/>
                <w:lang w:eastAsia="fr-FR"/>
              </w:rPr>
            </w:pPr>
          </w:p>
        </w:tc>
        <w:tc>
          <w:tcPr>
            <w:tcW w:w="916" w:type="pct"/>
            <w:vMerge/>
            <w:tcBorders>
              <w:bottom w:val="single" w:sz="4" w:space="0" w:color="auto"/>
            </w:tcBorders>
            <w:shd w:val="clear" w:color="auto" w:fill="auto"/>
            <w:vAlign w:val="center"/>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11" w:type="pct"/>
            <w:vMerge/>
            <w:tcBorders>
              <w:bottom w:val="single" w:sz="4" w:space="0" w:color="auto"/>
            </w:tcBorders>
            <w:shd w:val="clear" w:color="auto" w:fill="auto"/>
            <w:vAlign w:val="center"/>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88"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Parent /Epoux /Epouse</w:t>
            </w:r>
          </w:p>
        </w:tc>
        <w:tc>
          <w:tcPr>
            <w:tcW w:w="547"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Ami</w:t>
            </w:r>
          </w:p>
        </w:tc>
        <w:tc>
          <w:tcPr>
            <w:tcW w:w="554"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Aucune relation</w:t>
            </w:r>
          </w:p>
        </w:tc>
        <w:tc>
          <w:tcPr>
            <w:tcW w:w="654"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Autre</w:t>
            </w:r>
          </w:p>
        </w:tc>
      </w:tr>
      <w:tr w:rsidR="002320E0" w:rsidRPr="00BD6795" w:rsidTr="00BD6795">
        <w:trPr>
          <w:trHeight w:val="300"/>
        </w:trPr>
        <w:tc>
          <w:tcPr>
            <w:tcW w:w="1030"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b/>
                <w:color w:val="000000"/>
                <w:lang w:eastAsia="fr-FR"/>
              </w:rPr>
            </w:pPr>
            <w:r w:rsidRPr="00BD6795">
              <w:rPr>
                <w:rFonts w:ascii="Trebuchet MS" w:eastAsia="Times New Roman" w:hAnsi="Trebuchet MS"/>
                <w:b/>
                <w:color w:val="000000"/>
                <w:lang w:eastAsia="fr-FR"/>
              </w:rPr>
              <w:t>Milieu de résidence</w:t>
            </w:r>
          </w:p>
        </w:tc>
        <w:tc>
          <w:tcPr>
            <w:tcW w:w="916"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11"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88"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547"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554"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54"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r>
      <w:tr w:rsidR="002320E0" w:rsidRPr="00BD6795" w:rsidTr="00BD6795">
        <w:trPr>
          <w:trHeight w:val="300"/>
        </w:trPr>
        <w:tc>
          <w:tcPr>
            <w:tcW w:w="1030" w:type="pct"/>
            <w:tcBorders>
              <w:top w:val="nil"/>
            </w:tcBorders>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Urbain</w:t>
            </w:r>
          </w:p>
        </w:tc>
        <w:tc>
          <w:tcPr>
            <w:tcW w:w="916"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w:t>
            </w:r>
          </w:p>
        </w:tc>
        <w:tc>
          <w:tcPr>
            <w:tcW w:w="611"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2,8</w:t>
            </w:r>
          </w:p>
        </w:tc>
        <w:tc>
          <w:tcPr>
            <w:tcW w:w="688"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22,2</w:t>
            </w:r>
          </w:p>
        </w:tc>
        <w:tc>
          <w:tcPr>
            <w:tcW w:w="554"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11,1</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Rural</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5,4</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2,7</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41,7</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 xml:space="preserve">Département </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ALIBORI</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ATACORA</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ATLANTIQUE</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9,2</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2,6</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83,3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16,7</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BORGOU</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themeColor="text1"/>
              </w:rPr>
            </w:pPr>
            <w:r w:rsidRPr="00BD6795">
              <w:rPr>
                <w:rFonts w:ascii="Trebuchet MS" w:hAnsi="Trebuchet MS"/>
                <w:color w:val="000000" w:themeColor="text1"/>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COLLINES</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1,9</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COUFFO</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DONGA</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6,5</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LITTORAL</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4,6</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2,7</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MONO</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OUEME</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6,1</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66,7</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PLATEAU</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100,0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ZOU</w:t>
            </w:r>
          </w:p>
        </w:tc>
        <w:tc>
          <w:tcPr>
            <w:tcW w:w="916"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w:t>
            </w:r>
          </w:p>
        </w:tc>
        <w:tc>
          <w:tcPr>
            <w:tcW w:w="611"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3,0</w:t>
            </w:r>
          </w:p>
        </w:tc>
        <w:tc>
          <w:tcPr>
            <w:tcW w:w="688"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100,0</w:t>
            </w:r>
          </w:p>
        </w:tc>
        <w:tc>
          <w:tcPr>
            <w:tcW w:w="654"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Ensemble</w:t>
            </w:r>
          </w:p>
        </w:tc>
        <w:tc>
          <w:tcPr>
            <w:tcW w:w="91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4,2</w:t>
            </w:r>
          </w:p>
        </w:tc>
        <w:tc>
          <w:tcPr>
            <w:tcW w:w="61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2,7</w:t>
            </w:r>
          </w:p>
        </w:tc>
        <w:tc>
          <w:tcPr>
            <w:tcW w:w="688"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38,1</w:t>
            </w:r>
          </w:p>
        </w:tc>
        <w:tc>
          <w:tcPr>
            <w:tcW w:w="54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23,8</w:t>
            </w:r>
          </w:p>
        </w:tc>
        <w:tc>
          <w:tcPr>
            <w:tcW w:w="554"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33,3</w:t>
            </w:r>
          </w:p>
        </w:tc>
        <w:tc>
          <w:tcPr>
            <w:tcW w:w="654"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4,8</w:t>
            </w:r>
          </w:p>
        </w:tc>
      </w:tr>
      <w:tr w:rsidR="002320E0" w:rsidRPr="00BD6795" w:rsidTr="00BD6795">
        <w:tblPrEx>
          <w:tblBorders>
            <w:top w:val="none" w:sz="0" w:space="0" w:color="auto"/>
            <w:bottom w:val="none" w:sz="0" w:space="0" w:color="auto"/>
          </w:tblBorders>
        </w:tblPrEx>
        <w:trPr>
          <w:trHeight w:val="300"/>
        </w:trPr>
        <w:tc>
          <w:tcPr>
            <w:tcW w:w="5000" w:type="pct"/>
            <w:gridSpan w:val="7"/>
            <w:shd w:val="clear" w:color="auto" w:fill="auto"/>
            <w:noWrap/>
            <w:vAlign w:val="bottom"/>
            <w:hideMark/>
          </w:tcPr>
          <w:p w:rsidR="007B76C4" w:rsidRPr="007B76C4" w:rsidRDefault="007B76C4" w:rsidP="005B705F">
            <w:pPr>
              <w:keepNext/>
              <w:spacing w:after="0" w:line="240" w:lineRule="auto"/>
              <w:rPr>
                <w:rFonts w:ascii="Trebuchet MS" w:hAnsi="Trebuchet MS" w:cs="Arial"/>
                <w:b/>
                <w:bCs/>
                <w:color w:val="000000"/>
                <w:sz w:val="6"/>
              </w:rPr>
            </w:pPr>
          </w:p>
          <w:p w:rsidR="002320E0" w:rsidRPr="007B76C4" w:rsidRDefault="002320E0" w:rsidP="005B705F">
            <w:pPr>
              <w:keepNext/>
              <w:spacing w:line="240" w:lineRule="auto"/>
              <w:rPr>
                <w:rFonts w:ascii="Trebuchet MS" w:eastAsia="Times New Roman" w:hAnsi="Trebuchet MS"/>
                <w:b/>
                <w:color w:val="000000"/>
                <w:sz w:val="20"/>
                <w:lang w:eastAsia="fr-FR"/>
              </w:rPr>
            </w:pPr>
            <w:r w:rsidRPr="007B76C4">
              <w:rPr>
                <w:rFonts w:ascii="Trebuchet MS" w:hAnsi="Trebuchet MS" w:cs="Arial"/>
                <w:b/>
                <w:bCs/>
                <w:color w:val="000000"/>
                <w:sz w:val="20"/>
              </w:rPr>
              <w:t>Source : ECEB, INSAE, 2015</w:t>
            </w:r>
          </w:p>
        </w:tc>
      </w:tr>
    </w:tbl>
    <w:p w:rsidR="002320E0" w:rsidRPr="009E0F75" w:rsidRDefault="002320E0" w:rsidP="002320E0">
      <w:pPr>
        <w:jc w:val="both"/>
        <w:rPr>
          <w:rFonts w:ascii="Trebuchet MS" w:hAnsi="Trebuchet MS"/>
        </w:rPr>
      </w:pPr>
      <w:r w:rsidRPr="009E0F75">
        <w:rPr>
          <w:rFonts w:ascii="Trebuchet MS" w:hAnsi="Trebuchet MS"/>
        </w:rPr>
        <w:t xml:space="preserve">Dans les départements dans lesquels le phénomène de distribution de l’électricité de la ligne sous-traitée à partir de leur point d’alimentation est relativement plus marqué sont l’Atlantique (9,2%), la Donga (6,5%), l’Ouémé (6,1%). </w:t>
      </w:r>
    </w:p>
    <w:p w:rsidR="002320E0" w:rsidRPr="009E0F75" w:rsidRDefault="002320E0" w:rsidP="002320E0">
      <w:pPr>
        <w:jc w:val="both"/>
        <w:rPr>
          <w:rFonts w:ascii="Trebuchet MS" w:hAnsi="Trebuchet MS"/>
        </w:rPr>
      </w:pPr>
      <w:r w:rsidRPr="009E0F75">
        <w:rPr>
          <w:rFonts w:ascii="Trebuchet MS" w:hAnsi="Trebuchet MS"/>
        </w:rPr>
        <w:t xml:space="preserve">Par ailleurs, en moyen plus de 2,7 usagers sont connectés au même point d’alimentation du ménage dans l’ensemble des départements. Aucune disparité, en termes de nombre moyen d’usagers connectés au même point d’alimentation, n’est notée selon le milieu de résidence (2,7 en milieu rural contre 2,8 en urbain). </w:t>
      </w:r>
    </w:p>
    <w:p w:rsidR="002320E0" w:rsidRPr="009E0F75" w:rsidRDefault="002320E0" w:rsidP="009E0F75">
      <w:pPr>
        <w:jc w:val="both"/>
        <w:rPr>
          <w:rFonts w:ascii="Trebuchet MS" w:hAnsi="Trebuchet MS"/>
        </w:rPr>
      </w:pPr>
      <w:r w:rsidRPr="009E0F75">
        <w:rPr>
          <w:rFonts w:ascii="Trebuchet MS" w:hAnsi="Trebuchet MS"/>
        </w:rPr>
        <w:t>La plupart des ménages distribuant de l’électricité à partir de leur point d’alimentation de la ligne sous-traitée, ont déclaré que les usagers sont leur Parent /Epoux /Epouse (38,1%), leur Ami (23,8%) ou sont  sans aucune relation (33,3%) avec eux. Les usagers sont beaucoup plus Parent/Epoux/Epouse au ménage dans l’Atlantique (83,3%), et des amis au ménage dans l’Ouémé (66,7%).</w:t>
      </w:r>
    </w:p>
    <w:p w:rsidR="002320E0" w:rsidRPr="009A60C0" w:rsidRDefault="002320E0" w:rsidP="009E0F75">
      <w:pPr>
        <w:pStyle w:val="Titre3"/>
        <w:numPr>
          <w:ilvl w:val="0"/>
          <w:numId w:val="0"/>
        </w:numPr>
        <w:ind w:left="720" w:hanging="720"/>
      </w:pPr>
      <w:bookmarkStart w:id="161" w:name="_Toc426359398"/>
      <w:bookmarkStart w:id="162" w:name="_Toc426359453"/>
      <w:r>
        <w:t>2</w:t>
      </w:r>
      <w:r w:rsidR="009E0F75">
        <w:t xml:space="preserve">.3. </w:t>
      </w:r>
      <w:r>
        <w:t>Utilisations faites des différentes sources d’énergie et dépenses en énergie</w:t>
      </w:r>
      <w:bookmarkEnd w:id="161"/>
      <w:bookmarkEnd w:id="162"/>
    </w:p>
    <w:p w:rsidR="002320E0" w:rsidRDefault="007A34C8" w:rsidP="007A34C8">
      <w:pPr>
        <w:pStyle w:val="Titre4"/>
      </w:pPr>
      <w:bookmarkStart w:id="163" w:name="_Toc426359454"/>
      <w:r>
        <w:t xml:space="preserve">2.3.1. </w:t>
      </w:r>
      <w:r w:rsidR="002320E0">
        <w:t>Utilisation des sources d’énergie par les ménages</w:t>
      </w:r>
      <w:bookmarkEnd w:id="163"/>
    </w:p>
    <w:p w:rsidR="002320E0" w:rsidRPr="00E67F64" w:rsidRDefault="002320E0" w:rsidP="009E0F75">
      <w:pPr>
        <w:jc w:val="both"/>
        <w:rPr>
          <w:rFonts w:ascii="Trebuchet MS" w:hAnsi="Trebuchet MS"/>
        </w:rPr>
      </w:pPr>
      <w:r w:rsidRPr="00036615">
        <w:rPr>
          <w:rFonts w:ascii="Trebuchet MS" w:hAnsi="Trebuchet MS"/>
        </w:rPr>
        <w:t>Il ressort d</w:t>
      </w:r>
      <w:r>
        <w:rPr>
          <w:rFonts w:ascii="Trebuchet MS" w:hAnsi="Trebuchet MS"/>
        </w:rPr>
        <w:t xml:space="preserve">u </w:t>
      </w:r>
      <w:r w:rsidRPr="00036615">
        <w:rPr>
          <w:rFonts w:ascii="Trebuchet MS" w:hAnsi="Trebuchet MS"/>
        </w:rPr>
        <w:t xml:space="preserve">tableau </w:t>
      </w:r>
      <w:r>
        <w:rPr>
          <w:rFonts w:ascii="Trebuchet MS" w:hAnsi="Trebuchet MS"/>
        </w:rPr>
        <w:t xml:space="preserve">ci-après que </w:t>
      </w:r>
      <w:r w:rsidRPr="00036615">
        <w:rPr>
          <w:rFonts w:ascii="Trebuchet MS" w:hAnsi="Trebuchet MS"/>
        </w:rPr>
        <w:t>les ménages enquêtés utilisent pour la plupart les sources d’énergie dans les activités domestiques. Plus de 97%</w:t>
      </w:r>
      <w:r>
        <w:rPr>
          <w:rFonts w:ascii="Trebuchet MS" w:hAnsi="Trebuchet MS"/>
        </w:rPr>
        <w:t xml:space="preserve"> des ménages utilisent </w:t>
      </w:r>
      <w:r w:rsidRPr="00036615">
        <w:rPr>
          <w:rFonts w:ascii="Trebuchet MS" w:hAnsi="Trebuchet MS"/>
        </w:rPr>
        <w:t xml:space="preserve">chacune des sources d’énergie </w:t>
      </w:r>
      <w:r>
        <w:rPr>
          <w:rFonts w:ascii="Trebuchet MS" w:hAnsi="Trebuchet MS"/>
        </w:rPr>
        <w:t>pour d</w:t>
      </w:r>
      <w:r w:rsidRPr="00036615">
        <w:rPr>
          <w:rFonts w:ascii="Trebuchet MS" w:hAnsi="Trebuchet MS"/>
        </w:rPr>
        <w:t xml:space="preserve">es activités domestiques. </w:t>
      </w:r>
    </w:p>
    <w:p w:rsidR="002320E0" w:rsidRDefault="002320E0" w:rsidP="002320E0">
      <w:pPr>
        <w:spacing w:after="0"/>
        <w:jc w:val="both"/>
        <w:rPr>
          <w:rFonts w:ascii="Trebuchet MS" w:hAnsi="Trebuchet MS"/>
        </w:rPr>
      </w:pPr>
    </w:p>
    <w:p w:rsidR="002B0EFB" w:rsidRPr="002B0EFB" w:rsidRDefault="002B0EFB" w:rsidP="00C00A52">
      <w:pPr>
        <w:keepNext/>
        <w:spacing w:after="0"/>
        <w:jc w:val="both"/>
        <w:rPr>
          <w:rFonts w:ascii="Trebuchet MS" w:hAnsi="Trebuchet MS"/>
          <w:b/>
        </w:rPr>
      </w:pPr>
      <w:bookmarkStart w:id="164" w:name="_Toc426359344"/>
      <w:r w:rsidRPr="002B0EFB">
        <w:rPr>
          <w:rFonts w:ascii="Trebuchet MS" w:eastAsia="Times New Roman" w:hAnsi="Trebuchet MS"/>
          <w:b/>
          <w:color w:val="000000"/>
          <w:sz w:val="20"/>
          <w:lang w:eastAsia="fr-FR"/>
        </w:rPr>
        <w:t xml:space="preserve">Tableau </w:t>
      </w:r>
      <w:r w:rsidR="00792500" w:rsidRPr="002B0EFB">
        <w:rPr>
          <w:rFonts w:ascii="Trebuchet MS" w:eastAsia="Times New Roman" w:hAnsi="Trebuchet MS"/>
          <w:b/>
          <w:color w:val="000000"/>
          <w:sz w:val="20"/>
          <w:lang w:eastAsia="fr-FR"/>
        </w:rPr>
        <w:fldChar w:fldCharType="begin"/>
      </w:r>
      <w:r w:rsidRPr="002B0EFB">
        <w:rPr>
          <w:rFonts w:ascii="Trebuchet MS" w:eastAsia="Times New Roman" w:hAnsi="Trebuchet MS"/>
          <w:b/>
          <w:color w:val="000000"/>
          <w:sz w:val="20"/>
          <w:lang w:eastAsia="fr-FR"/>
        </w:rPr>
        <w:instrText xml:space="preserve"> SEQ Tableau \* ARABIC </w:instrText>
      </w:r>
      <w:r w:rsidR="00792500" w:rsidRPr="002B0EFB">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25</w:t>
      </w:r>
      <w:r w:rsidR="00792500" w:rsidRPr="002B0EFB">
        <w:rPr>
          <w:rFonts w:ascii="Trebuchet MS" w:eastAsia="Times New Roman" w:hAnsi="Trebuchet MS"/>
          <w:b/>
          <w:color w:val="000000"/>
          <w:sz w:val="20"/>
          <w:lang w:eastAsia="fr-FR"/>
        </w:rPr>
        <w:fldChar w:fldCharType="end"/>
      </w:r>
      <w:r w:rsidRPr="002B0EFB">
        <w:rPr>
          <w:rFonts w:ascii="Trebuchet MS" w:eastAsia="Times New Roman" w:hAnsi="Trebuchet MS"/>
          <w:b/>
          <w:color w:val="000000"/>
          <w:sz w:val="20"/>
          <w:lang w:eastAsia="fr-FR"/>
        </w:rPr>
        <w:t>: Pourcentage de ménages Pourcentage de ménage selon l'utilisation faite de différentes sources d'énergie</w:t>
      </w:r>
      <w:bookmarkEnd w:id="164"/>
    </w:p>
    <w:tbl>
      <w:tblPr>
        <w:tblW w:w="5040"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3048"/>
        <w:gridCol w:w="1419"/>
        <w:gridCol w:w="1415"/>
        <w:gridCol w:w="1558"/>
        <w:gridCol w:w="1846"/>
      </w:tblGrid>
      <w:tr w:rsidR="002320E0" w:rsidRPr="002B0EFB" w:rsidTr="002B0EFB">
        <w:trPr>
          <w:trHeight w:val="514"/>
        </w:trPr>
        <w:tc>
          <w:tcPr>
            <w:tcW w:w="1641" w:type="pct"/>
            <w:tcBorders>
              <w:top w:val="double" w:sz="4" w:space="0" w:color="auto"/>
            </w:tcBorders>
            <w:shd w:val="clear" w:color="auto" w:fill="auto"/>
            <w:noWrap/>
            <w:vAlign w:val="bottom"/>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w:t>
            </w:r>
          </w:p>
        </w:tc>
        <w:tc>
          <w:tcPr>
            <w:tcW w:w="2365" w:type="pct"/>
            <w:gridSpan w:val="3"/>
            <w:tcBorders>
              <w:top w:val="double" w:sz="4" w:space="0" w:color="auto"/>
              <w:bottom w:val="single" w:sz="4" w:space="0" w:color="auto"/>
            </w:tcBorders>
            <w:shd w:val="clear" w:color="auto" w:fill="auto"/>
            <w:vAlign w:val="bottom"/>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Pourcentage de ménage utilisant la source d’énergie pour des</w:t>
            </w:r>
          </w:p>
        </w:tc>
        <w:tc>
          <w:tcPr>
            <w:tcW w:w="994" w:type="pct"/>
            <w:vMerge w:val="restart"/>
            <w:tcBorders>
              <w:top w:val="double" w:sz="4" w:space="0" w:color="auto"/>
            </w:tcBorders>
            <w:shd w:val="clear" w:color="auto" w:fill="auto"/>
            <w:vAlign w:val="bottom"/>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Effectif des ménages utilisant la source d'énergie</w:t>
            </w:r>
          </w:p>
        </w:tc>
      </w:tr>
      <w:tr w:rsidR="002320E0" w:rsidRPr="002B0EFB" w:rsidTr="002B0EFB">
        <w:trPr>
          <w:trHeight w:val="544"/>
        </w:trPr>
        <w:tc>
          <w:tcPr>
            <w:tcW w:w="1641" w:type="pct"/>
            <w:tcBorders>
              <w:bottom w:val="single" w:sz="4" w:space="0" w:color="auto"/>
            </w:tcBorders>
            <w:shd w:val="clear" w:color="auto" w:fill="auto"/>
            <w:hideMark/>
          </w:tcPr>
          <w:p w:rsidR="002320E0" w:rsidRPr="002B0EFB" w:rsidRDefault="002320E0" w:rsidP="00C00A52">
            <w:pPr>
              <w:keepNext/>
              <w:spacing w:after="0" w:line="240" w:lineRule="auto"/>
              <w:rPr>
                <w:rFonts w:ascii="Trebuchet MS" w:eastAsia="Times New Roman" w:hAnsi="Trebuchet MS"/>
                <w:b/>
                <w:bCs/>
                <w:color w:val="000000"/>
                <w:lang w:eastAsia="fr-FR"/>
              </w:rPr>
            </w:pPr>
            <w:r w:rsidRPr="002B0EFB">
              <w:rPr>
                <w:rFonts w:ascii="Trebuchet MS" w:eastAsia="Times New Roman" w:hAnsi="Trebuchet MS" w:cs="Arial"/>
                <w:b/>
                <w:bCs/>
                <w:color w:val="000000"/>
                <w:lang w:eastAsia="fr-FR"/>
              </w:rPr>
              <w:t> </w:t>
            </w:r>
          </w:p>
        </w:tc>
        <w:tc>
          <w:tcPr>
            <w:tcW w:w="764"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Activités domestiques</w:t>
            </w:r>
          </w:p>
        </w:tc>
        <w:tc>
          <w:tcPr>
            <w:tcW w:w="762"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Activités économiques</w:t>
            </w:r>
          </w:p>
        </w:tc>
        <w:tc>
          <w:tcPr>
            <w:tcW w:w="839"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Loisirs</w:t>
            </w:r>
          </w:p>
        </w:tc>
        <w:tc>
          <w:tcPr>
            <w:tcW w:w="994" w:type="pct"/>
            <w:vMerge/>
            <w:tcBorders>
              <w:bottom w:val="sing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p>
        </w:tc>
      </w:tr>
      <w:tr w:rsidR="002320E0" w:rsidRPr="002B0EFB" w:rsidTr="002B0EFB">
        <w:trPr>
          <w:trHeight w:val="300"/>
        </w:trPr>
        <w:tc>
          <w:tcPr>
            <w:tcW w:w="1641"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Ligne directe de la SBEE                      </w:t>
            </w:r>
          </w:p>
        </w:tc>
        <w:tc>
          <w:tcPr>
            <w:tcW w:w="764"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32,2</w:t>
            </w:r>
          </w:p>
        </w:tc>
        <w:tc>
          <w:tcPr>
            <w:tcW w:w="839"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62,0</w:t>
            </w:r>
          </w:p>
        </w:tc>
        <w:tc>
          <w:tcPr>
            <w:tcW w:w="994" w:type="pct"/>
            <w:tcBorders>
              <w:top w:val="single" w:sz="4" w:space="0" w:color="auto"/>
              <w:bottom w:val="nil"/>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877</w:t>
            </w:r>
          </w:p>
        </w:tc>
      </w:tr>
      <w:tr w:rsidR="002320E0" w:rsidRPr="002B0EFB" w:rsidTr="002B0EFB">
        <w:trPr>
          <w:trHeight w:val="600"/>
        </w:trPr>
        <w:tc>
          <w:tcPr>
            <w:tcW w:w="1641" w:type="pct"/>
            <w:tcBorders>
              <w:top w:val="nil"/>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Ligne sous-traitée de la SBEE (toile d’araignée)                       </w:t>
            </w:r>
          </w:p>
        </w:tc>
        <w:tc>
          <w:tcPr>
            <w:tcW w:w="764"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w:t>
            </w:r>
          </w:p>
        </w:tc>
        <w:tc>
          <w:tcPr>
            <w:tcW w:w="839"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2,1</w:t>
            </w:r>
          </w:p>
        </w:tc>
        <w:tc>
          <w:tcPr>
            <w:tcW w:w="994" w:type="pct"/>
            <w:tcBorders>
              <w:top w:val="nil"/>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467</w:t>
            </w:r>
          </w:p>
        </w:tc>
      </w:tr>
      <w:tr w:rsidR="002320E0" w:rsidRPr="002B0EFB" w:rsidTr="002B0EFB">
        <w:trPr>
          <w:trHeight w:val="6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Groupe électrogène à gas-oil ou à essence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98,1</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7,7</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427</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Pétrole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98,7</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6,3</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12,5</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1592</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Energie solaire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98,8</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2,5</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6,3</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80</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Charbon de bois</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99,1</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20,8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1291</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Pile à torche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99,5</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5,3</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11,7</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2814</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Batterie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97,6</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14,6</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26,8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41</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Gaz de pétrole liquéfié (GPL ou LPG)</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98,6</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19,2</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47,9</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73</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Gaz de propane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30,4</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59,8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92</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Bougie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99,5</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13,4</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25,1</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657</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Biomasse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0,0</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12,5</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Bois de chauffe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4,0</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8,1</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1390</w:t>
            </w:r>
          </w:p>
        </w:tc>
      </w:tr>
      <w:tr w:rsidR="002320E0" w:rsidRPr="002B0EFB" w:rsidTr="002B0EFB">
        <w:trPr>
          <w:trHeight w:val="300"/>
        </w:trPr>
        <w:tc>
          <w:tcPr>
            <w:tcW w:w="1641" w:type="pct"/>
            <w:tcBorders>
              <w:bottom w:val="double" w:sz="4" w:space="0" w:color="auto"/>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Autre source</w:t>
            </w:r>
          </w:p>
        </w:tc>
        <w:tc>
          <w:tcPr>
            <w:tcW w:w="764"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7,8</w:t>
            </w:r>
          </w:p>
        </w:tc>
        <w:tc>
          <w:tcPr>
            <w:tcW w:w="839"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19,6</w:t>
            </w:r>
          </w:p>
        </w:tc>
        <w:tc>
          <w:tcPr>
            <w:tcW w:w="994" w:type="pct"/>
            <w:tcBorders>
              <w:bottom w:val="double" w:sz="4" w:space="0" w:color="auto"/>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51</w:t>
            </w:r>
          </w:p>
        </w:tc>
      </w:tr>
      <w:tr w:rsidR="002320E0" w:rsidRPr="002B0EFB" w:rsidTr="002B0EFB">
        <w:tblPrEx>
          <w:tblBorders>
            <w:top w:val="none" w:sz="0" w:space="0" w:color="auto"/>
            <w:bottom w:val="none" w:sz="0" w:space="0" w:color="auto"/>
          </w:tblBorders>
        </w:tblPrEx>
        <w:trPr>
          <w:trHeight w:val="300"/>
        </w:trPr>
        <w:tc>
          <w:tcPr>
            <w:tcW w:w="5000" w:type="pct"/>
            <w:gridSpan w:val="5"/>
            <w:tcBorders>
              <w:top w:val="double" w:sz="4" w:space="0" w:color="auto"/>
            </w:tcBorders>
            <w:shd w:val="clear" w:color="auto" w:fill="auto"/>
            <w:noWrap/>
            <w:vAlign w:val="bottom"/>
            <w:hideMark/>
          </w:tcPr>
          <w:p w:rsidR="002320E0" w:rsidRPr="002B0EFB" w:rsidRDefault="002320E0" w:rsidP="00C00A52">
            <w:pPr>
              <w:keepNext/>
              <w:spacing w:line="240" w:lineRule="auto"/>
              <w:rPr>
                <w:rFonts w:ascii="Trebuchet MS" w:eastAsia="Times New Roman" w:hAnsi="Trebuchet MS"/>
                <w:b/>
                <w:color w:val="000000"/>
                <w:sz w:val="20"/>
                <w:lang w:eastAsia="fr-FR"/>
              </w:rPr>
            </w:pPr>
            <w:r w:rsidRPr="002B0EFB">
              <w:rPr>
                <w:rFonts w:ascii="Trebuchet MS" w:hAnsi="Trebuchet MS" w:cs="Arial"/>
                <w:b/>
                <w:bCs/>
                <w:color w:val="000000"/>
                <w:sz w:val="20"/>
              </w:rPr>
              <w:t>Source : ECEB, INSAE, 2015</w:t>
            </w:r>
          </w:p>
        </w:tc>
      </w:tr>
    </w:tbl>
    <w:p w:rsidR="002320E0" w:rsidRPr="006E42CB" w:rsidRDefault="002320E0" w:rsidP="00605DE4">
      <w:pPr>
        <w:spacing w:before="240"/>
        <w:rPr>
          <w:lang w:eastAsia="fr-FR"/>
        </w:rPr>
      </w:pPr>
      <w:r w:rsidRPr="00036615">
        <w:rPr>
          <w:rFonts w:ascii="Trebuchet MS" w:hAnsi="Trebuchet MS"/>
        </w:rPr>
        <w:t xml:space="preserve">Outres les activités domestiques </w:t>
      </w:r>
      <w:r>
        <w:rPr>
          <w:rFonts w:ascii="Trebuchet MS" w:hAnsi="Trebuchet MS"/>
        </w:rPr>
        <w:t xml:space="preserve">certaines </w:t>
      </w:r>
      <w:r w:rsidRPr="00036615">
        <w:rPr>
          <w:rFonts w:ascii="Trebuchet MS" w:hAnsi="Trebuchet MS"/>
        </w:rPr>
        <w:t xml:space="preserve">sources d’énergie sont également plus utilisées </w:t>
      </w:r>
      <w:r>
        <w:rPr>
          <w:rFonts w:ascii="Trebuchet MS" w:hAnsi="Trebuchet MS"/>
        </w:rPr>
        <w:t xml:space="preserve">pour les </w:t>
      </w:r>
      <w:r w:rsidRPr="00036615">
        <w:rPr>
          <w:rFonts w:ascii="Trebuchet MS" w:hAnsi="Trebuchet MS"/>
        </w:rPr>
        <w:t>loisir</w:t>
      </w:r>
      <w:r>
        <w:rPr>
          <w:rFonts w:ascii="Trebuchet MS" w:hAnsi="Trebuchet MS"/>
        </w:rPr>
        <w:t>s</w:t>
      </w:r>
      <w:r w:rsidRPr="00036615">
        <w:rPr>
          <w:rFonts w:ascii="Trebuchet MS" w:hAnsi="Trebuchet MS"/>
        </w:rPr>
        <w:t xml:space="preserve"> que dans les activités économiques.</w:t>
      </w:r>
    </w:p>
    <w:p w:rsidR="002320E0" w:rsidRDefault="002320E0" w:rsidP="00605DE4">
      <w:pPr>
        <w:jc w:val="both"/>
        <w:rPr>
          <w:rFonts w:ascii="Trebuchet MS" w:hAnsi="Trebuchet MS"/>
        </w:rPr>
      </w:pPr>
      <w:r w:rsidRPr="00036615">
        <w:rPr>
          <w:rFonts w:ascii="Trebuchet MS" w:hAnsi="Trebuchet MS"/>
        </w:rPr>
        <w:t>La ligne directe de la SBEE (32,2%</w:t>
      </w:r>
      <w:r>
        <w:rPr>
          <w:rFonts w:ascii="Trebuchet MS" w:hAnsi="Trebuchet MS"/>
        </w:rPr>
        <w:t xml:space="preserve"> des ménages</w:t>
      </w:r>
      <w:r w:rsidRPr="00036615">
        <w:rPr>
          <w:rFonts w:ascii="Trebuchet MS" w:hAnsi="Trebuchet MS"/>
        </w:rPr>
        <w:t>), le gaz de propane (30,4%</w:t>
      </w:r>
      <w:r>
        <w:rPr>
          <w:rFonts w:ascii="Trebuchet MS" w:hAnsi="Trebuchet MS"/>
        </w:rPr>
        <w:t>des ménages</w:t>
      </w:r>
      <w:r w:rsidRPr="00036615">
        <w:rPr>
          <w:rFonts w:ascii="Trebuchet MS" w:hAnsi="Trebuchet MS"/>
        </w:rPr>
        <w:t>), le gaz de pétrole (19,2%</w:t>
      </w:r>
      <w:r>
        <w:rPr>
          <w:rFonts w:ascii="Trebuchet MS" w:hAnsi="Trebuchet MS"/>
        </w:rPr>
        <w:t>des ménages</w:t>
      </w:r>
      <w:r w:rsidRPr="00036615">
        <w:rPr>
          <w:rFonts w:ascii="Trebuchet MS" w:hAnsi="Trebuchet MS"/>
        </w:rPr>
        <w:t>), la batterie (14,6%</w:t>
      </w:r>
      <w:r>
        <w:rPr>
          <w:rFonts w:ascii="Trebuchet MS" w:hAnsi="Trebuchet MS"/>
        </w:rPr>
        <w:t>des ménages</w:t>
      </w:r>
      <w:r w:rsidRPr="00036615">
        <w:rPr>
          <w:rFonts w:ascii="Trebuchet MS" w:hAnsi="Trebuchet MS"/>
        </w:rPr>
        <w:t>) et la bougie (13,4%</w:t>
      </w:r>
      <w:r>
        <w:rPr>
          <w:rFonts w:ascii="Trebuchet MS" w:hAnsi="Trebuchet MS"/>
        </w:rPr>
        <w:t>des ménages</w:t>
      </w:r>
      <w:r w:rsidRPr="00036615">
        <w:rPr>
          <w:rFonts w:ascii="Trebuchet MS" w:hAnsi="Trebuchet MS"/>
        </w:rPr>
        <w:t>) sont les plus utilisés</w:t>
      </w:r>
      <w:r>
        <w:rPr>
          <w:rFonts w:ascii="Trebuchet MS" w:hAnsi="Trebuchet MS"/>
        </w:rPr>
        <w:t xml:space="preserve"> dans les activités économiques.</w:t>
      </w:r>
    </w:p>
    <w:p w:rsidR="002320E0" w:rsidRDefault="002320E0" w:rsidP="002320E0">
      <w:pPr>
        <w:jc w:val="both"/>
        <w:rPr>
          <w:rFonts w:ascii="Trebuchet MS" w:hAnsi="Trebuchet MS"/>
          <w:lang w:eastAsia="fr-FR"/>
        </w:rPr>
      </w:pPr>
      <w:r>
        <w:rPr>
          <w:rFonts w:ascii="Trebuchet MS" w:hAnsi="Trebuchet MS"/>
          <w:lang w:eastAsia="fr-FR"/>
        </w:rPr>
        <w:t xml:space="preserve">Des résultats du graphique ci-après, il ressort qu’en général par </w:t>
      </w:r>
      <w:r w:rsidRPr="00E67F64">
        <w:rPr>
          <w:rFonts w:ascii="Trebuchet MS" w:hAnsi="Trebuchet MS"/>
          <w:lang w:eastAsia="fr-FR"/>
        </w:rPr>
        <w:t>à plus de 65%</w:t>
      </w:r>
      <w:r>
        <w:rPr>
          <w:rFonts w:ascii="Trebuchet MS" w:hAnsi="Trebuchet MS"/>
          <w:lang w:eastAsia="fr-FR"/>
        </w:rPr>
        <w:t xml:space="preserve"> des ménages utilisent l</w:t>
      </w:r>
      <w:r w:rsidRPr="00E67F64">
        <w:rPr>
          <w:rFonts w:ascii="Trebuchet MS" w:hAnsi="Trebuchet MS"/>
          <w:lang w:eastAsia="fr-FR"/>
        </w:rPr>
        <w:t xml:space="preserve">es différentes sources d’énergie </w:t>
      </w:r>
      <w:r>
        <w:rPr>
          <w:rFonts w:ascii="Trebuchet MS" w:hAnsi="Trebuchet MS"/>
          <w:lang w:eastAsia="fr-FR"/>
        </w:rPr>
        <w:t xml:space="preserve">pour </w:t>
      </w:r>
      <w:r w:rsidRPr="00E67F64">
        <w:rPr>
          <w:rFonts w:ascii="Trebuchet MS" w:hAnsi="Trebuchet MS"/>
          <w:lang w:eastAsia="fr-FR"/>
        </w:rPr>
        <w:t xml:space="preserve">des activités domestiques seulement. Les ménages enquêtés utilisent plus la </w:t>
      </w:r>
      <w:r>
        <w:rPr>
          <w:rFonts w:ascii="Trebuchet MS" w:hAnsi="Trebuchet MS"/>
          <w:lang w:eastAsia="fr-FR"/>
        </w:rPr>
        <w:t>pile</w:t>
      </w:r>
      <w:r w:rsidRPr="00E67F64">
        <w:rPr>
          <w:rFonts w:ascii="Trebuchet MS" w:hAnsi="Trebuchet MS"/>
          <w:lang w:eastAsia="fr-FR"/>
        </w:rPr>
        <w:t xml:space="preserve"> torche</w:t>
      </w:r>
      <w:r w:rsidR="0032120B">
        <w:rPr>
          <w:rFonts w:ascii="Trebuchet MS" w:hAnsi="Trebuchet MS"/>
          <w:lang w:eastAsia="fr-FR"/>
        </w:rPr>
        <w:t xml:space="preserve"> </w:t>
      </w:r>
      <w:r w:rsidRPr="00E67F64">
        <w:rPr>
          <w:rFonts w:ascii="Trebuchet MS" w:hAnsi="Trebuchet MS"/>
          <w:lang w:eastAsia="fr-FR"/>
        </w:rPr>
        <w:t>pour les activités domestiques</w:t>
      </w:r>
      <w:r>
        <w:rPr>
          <w:rFonts w:ascii="Trebuchet MS" w:hAnsi="Trebuchet MS"/>
          <w:lang w:eastAsia="fr-FR"/>
        </w:rPr>
        <w:t xml:space="preserve"> seulement (</w:t>
      </w:r>
      <w:r w:rsidRPr="00E67F64">
        <w:rPr>
          <w:rFonts w:ascii="Trebuchet MS" w:hAnsi="Trebuchet MS"/>
          <w:lang w:eastAsia="fr-FR"/>
        </w:rPr>
        <w:t>83,4% des ménages</w:t>
      </w:r>
      <w:r>
        <w:rPr>
          <w:rFonts w:ascii="Trebuchet MS" w:hAnsi="Trebuchet MS"/>
          <w:lang w:eastAsia="fr-FR"/>
        </w:rPr>
        <w:t>)</w:t>
      </w:r>
      <w:r w:rsidRPr="00E67F64">
        <w:rPr>
          <w:rFonts w:ascii="Trebuchet MS" w:hAnsi="Trebuchet MS"/>
          <w:lang w:eastAsia="fr-FR"/>
        </w:rPr>
        <w:t>, 79,5%</w:t>
      </w:r>
      <w:r>
        <w:rPr>
          <w:rFonts w:ascii="Trebuchet MS" w:hAnsi="Trebuchet MS"/>
          <w:lang w:eastAsia="fr-FR"/>
        </w:rPr>
        <w:t xml:space="preserve"> des ménages</w:t>
      </w:r>
      <w:r w:rsidRPr="00E67F64">
        <w:rPr>
          <w:rFonts w:ascii="Trebuchet MS" w:hAnsi="Trebuchet MS"/>
          <w:lang w:eastAsia="fr-FR"/>
        </w:rPr>
        <w:t xml:space="preserve"> utilis</w:t>
      </w:r>
      <w:r>
        <w:rPr>
          <w:rFonts w:ascii="Trebuchet MS" w:hAnsi="Trebuchet MS"/>
          <w:lang w:eastAsia="fr-FR"/>
        </w:rPr>
        <w:t xml:space="preserve">ant le pétrole, l’utilisent </w:t>
      </w:r>
      <w:r w:rsidRPr="00E67F64">
        <w:rPr>
          <w:rFonts w:ascii="Trebuchet MS" w:hAnsi="Trebuchet MS"/>
          <w:lang w:eastAsia="fr-FR"/>
        </w:rPr>
        <w:t>pour les activités domestiques</w:t>
      </w:r>
      <w:r>
        <w:rPr>
          <w:rFonts w:ascii="Trebuchet MS" w:hAnsi="Trebuchet MS"/>
          <w:lang w:eastAsia="fr-FR"/>
        </w:rPr>
        <w:t xml:space="preserve"> seulement</w:t>
      </w:r>
      <w:r w:rsidRPr="00E67F64">
        <w:rPr>
          <w:rFonts w:ascii="Trebuchet MS" w:hAnsi="Trebuchet MS"/>
          <w:lang w:eastAsia="fr-FR"/>
        </w:rPr>
        <w:t xml:space="preserve">. </w:t>
      </w:r>
      <w:r>
        <w:rPr>
          <w:rFonts w:ascii="Trebuchet MS" w:hAnsi="Trebuchet MS"/>
          <w:lang w:eastAsia="fr-FR"/>
        </w:rPr>
        <w:t>La quasi-totalité des ménages utilisant (</w:t>
      </w:r>
      <w:r w:rsidRPr="00E67F64">
        <w:rPr>
          <w:rFonts w:ascii="Trebuchet MS" w:hAnsi="Trebuchet MS"/>
          <w:lang w:eastAsia="fr-FR"/>
        </w:rPr>
        <w:t>100%</w:t>
      </w:r>
      <w:r>
        <w:rPr>
          <w:rFonts w:ascii="Trebuchet MS" w:hAnsi="Trebuchet MS"/>
          <w:lang w:eastAsia="fr-FR"/>
        </w:rPr>
        <w:t>)</w:t>
      </w:r>
      <w:r w:rsidR="0032120B">
        <w:rPr>
          <w:rFonts w:ascii="Trebuchet MS" w:hAnsi="Trebuchet MS"/>
          <w:lang w:eastAsia="fr-FR"/>
        </w:rPr>
        <w:t xml:space="preserve"> </w:t>
      </w:r>
      <w:r>
        <w:rPr>
          <w:rFonts w:ascii="Trebuchet MS" w:hAnsi="Trebuchet MS"/>
          <w:lang w:eastAsia="fr-FR"/>
        </w:rPr>
        <w:t>respectivement la</w:t>
      </w:r>
      <w:r w:rsidR="0032120B">
        <w:rPr>
          <w:rFonts w:ascii="Trebuchet MS" w:hAnsi="Trebuchet MS"/>
          <w:lang w:eastAsia="fr-FR"/>
        </w:rPr>
        <w:t xml:space="preserve"> </w:t>
      </w:r>
      <w:r w:rsidRPr="00E67F64">
        <w:rPr>
          <w:rFonts w:ascii="Trebuchet MS" w:hAnsi="Trebuchet MS"/>
          <w:lang w:eastAsia="fr-FR"/>
        </w:rPr>
        <w:t xml:space="preserve">Biomasse et </w:t>
      </w:r>
      <w:r>
        <w:rPr>
          <w:rFonts w:ascii="Trebuchet MS" w:hAnsi="Trebuchet MS"/>
          <w:lang w:eastAsia="fr-FR"/>
        </w:rPr>
        <w:t>le</w:t>
      </w:r>
      <w:r w:rsidRPr="00E67F64">
        <w:rPr>
          <w:rFonts w:ascii="Trebuchet MS" w:hAnsi="Trebuchet MS"/>
          <w:lang w:eastAsia="fr-FR"/>
        </w:rPr>
        <w:t xml:space="preserve"> Gaz de propane </w:t>
      </w:r>
      <w:r>
        <w:rPr>
          <w:rFonts w:ascii="Trebuchet MS" w:hAnsi="Trebuchet MS"/>
          <w:lang w:eastAsia="fr-FR"/>
        </w:rPr>
        <w:t xml:space="preserve">l’utilisent </w:t>
      </w:r>
      <w:r w:rsidRPr="00E67F64">
        <w:rPr>
          <w:rFonts w:ascii="Trebuchet MS" w:hAnsi="Trebuchet MS"/>
          <w:lang w:eastAsia="fr-FR"/>
        </w:rPr>
        <w:t>pour les activités domestiques</w:t>
      </w:r>
      <w:r>
        <w:rPr>
          <w:rFonts w:ascii="Trebuchet MS" w:hAnsi="Trebuchet MS"/>
          <w:lang w:eastAsia="fr-FR"/>
        </w:rPr>
        <w:t xml:space="preserve"> seulement</w:t>
      </w:r>
      <w:r w:rsidRPr="00E67F64">
        <w:rPr>
          <w:rFonts w:ascii="Trebuchet MS" w:hAnsi="Trebuchet MS"/>
          <w:lang w:eastAsia="fr-FR"/>
        </w:rPr>
        <w:t>.</w:t>
      </w:r>
      <w:r>
        <w:rPr>
          <w:rFonts w:ascii="Trebuchet MS" w:hAnsi="Trebuchet MS"/>
          <w:lang w:eastAsia="fr-FR"/>
        </w:rPr>
        <w:t xml:space="preserve"> De même, p</w:t>
      </w:r>
      <w:r w:rsidRPr="00E67F64">
        <w:rPr>
          <w:rFonts w:ascii="Trebuchet MS" w:hAnsi="Trebuchet MS"/>
          <w:lang w:eastAsia="fr-FR"/>
        </w:rPr>
        <w:t xml:space="preserve">lus de 90% </w:t>
      </w:r>
      <w:r>
        <w:rPr>
          <w:rFonts w:ascii="Trebuchet MS" w:hAnsi="Trebuchet MS"/>
          <w:lang w:eastAsia="fr-FR"/>
        </w:rPr>
        <w:t>des ménages utilisant le charbon de bois ou le bois de chauffe l’</w:t>
      </w:r>
      <w:r w:rsidRPr="00E67F64">
        <w:rPr>
          <w:rFonts w:ascii="Trebuchet MS" w:hAnsi="Trebuchet MS"/>
          <w:lang w:eastAsia="fr-FR"/>
        </w:rPr>
        <w:t>utilise</w:t>
      </w:r>
      <w:r>
        <w:rPr>
          <w:rFonts w:ascii="Trebuchet MS" w:hAnsi="Trebuchet MS"/>
          <w:lang w:eastAsia="fr-FR"/>
        </w:rPr>
        <w:t>nt</w:t>
      </w:r>
      <w:r w:rsidRPr="00E67F64">
        <w:rPr>
          <w:rFonts w:ascii="Trebuchet MS" w:hAnsi="Trebuchet MS"/>
          <w:lang w:eastAsia="fr-FR"/>
        </w:rPr>
        <w:t xml:space="preserve"> pour les activit</w:t>
      </w:r>
      <w:r>
        <w:rPr>
          <w:rFonts w:ascii="Trebuchet MS" w:hAnsi="Trebuchet MS"/>
          <w:lang w:eastAsia="fr-FR"/>
        </w:rPr>
        <w:t xml:space="preserve">és domestiques. </w:t>
      </w:r>
    </w:p>
    <w:p w:rsidR="002320E0" w:rsidRDefault="002320E0" w:rsidP="00605DE4">
      <w:pPr>
        <w:jc w:val="both"/>
        <w:rPr>
          <w:rFonts w:ascii="Trebuchet MS" w:hAnsi="Trebuchet MS"/>
          <w:lang w:eastAsia="fr-FR"/>
        </w:rPr>
      </w:pPr>
      <w:r>
        <w:rPr>
          <w:rFonts w:ascii="Trebuchet MS" w:hAnsi="Trebuchet MS"/>
          <w:lang w:eastAsia="fr-FR"/>
        </w:rPr>
        <w:t>Par ailleurs,</w:t>
      </w:r>
      <w:r w:rsidRPr="00E67F64">
        <w:rPr>
          <w:rFonts w:ascii="Trebuchet MS" w:hAnsi="Trebuchet MS"/>
          <w:lang w:eastAsia="fr-FR"/>
        </w:rPr>
        <w:t xml:space="preserve"> la ligne directe de la SBEE </w:t>
      </w:r>
      <w:r>
        <w:rPr>
          <w:rFonts w:ascii="Trebuchet MS" w:hAnsi="Trebuchet MS"/>
          <w:lang w:eastAsia="fr-FR"/>
        </w:rPr>
        <w:t>utilisée comme</w:t>
      </w:r>
      <w:r w:rsidRPr="00E67F64">
        <w:rPr>
          <w:rFonts w:ascii="Trebuchet MS" w:hAnsi="Trebuchet MS"/>
          <w:lang w:eastAsia="fr-FR"/>
        </w:rPr>
        <w:t xml:space="preserve"> source </w:t>
      </w:r>
      <w:r>
        <w:rPr>
          <w:rFonts w:ascii="Trebuchet MS" w:hAnsi="Trebuchet MS"/>
          <w:lang w:eastAsia="fr-FR"/>
        </w:rPr>
        <w:t xml:space="preserve">d’énergie est utilisée soit pour </w:t>
      </w:r>
      <w:r w:rsidRPr="00E67F64">
        <w:rPr>
          <w:rFonts w:ascii="Trebuchet MS" w:hAnsi="Trebuchet MS"/>
          <w:lang w:eastAsia="fr-FR"/>
        </w:rPr>
        <w:t>les activités domestiques et loisirs</w:t>
      </w:r>
      <w:r>
        <w:rPr>
          <w:rFonts w:ascii="Trebuchet MS" w:hAnsi="Trebuchet MS"/>
          <w:lang w:eastAsia="fr-FR"/>
        </w:rPr>
        <w:t xml:space="preserve"> (35,1</w:t>
      </w:r>
      <w:r w:rsidRPr="00E67F64">
        <w:rPr>
          <w:rFonts w:ascii="Trebuchet MS" w:hAnsi="Trebuchet MS"/>
          <w:lang w:eastAsia="fr-FR"/>
        </w:rPr>
        <w:t>%</w:t>
      </w:r>
      <w:r>
        <w:rPr>
          <w:rFonts w:ascii="Trebuchet MS" w:hAnsi="Trebuchet MS"/>
          <w:lang w:eastAsia="fr-FR"/>
        </w:rPr>
        <w:t xml:space="preserve"> des ménages), soit pour </w:t>
      </w:r>
      <w:r w:rsidRPr="00E67F64">
        <w:rPr>
          <w:rFonts w:ascii="Trebuchet MS" w:hAnsi="Trebuchet MS"/>
          <w:lang w:eastAsia="fr-FR"/>
        </w:rPr>
        <w:t>les activités domestiques</w:t>
      </w:r>
      <w:r>
        <w:rPr>
          <w:rFonts w:ascii="Trebuchet MS" w:hAnsi="Trebuchet MS"/>
          <w:lang w:eastAsia="fr-FR"/>
        </w:rPr>
        <w:t xml:space="preserve"> seulement (32,7%des ménages) ou pour </w:t>
      </w:r>
      <w:r w:rsidRPr="00E67F64">
        <w:rPr>
          <w:rFonts w:ascii="Trebuchet MS" w:hAnsi="Trebuchet MS"/>
          <w:lang w:eastAsia="fr-FR"/>
        </w:rPr>
        <w:t>les activités domestiques</w:t>
      </w:r>
      <w:r>
        <w:rPr>
          <w:rFonts w:ascii="Trebuchet MS" w:hAnsi="Trebuchet MS"/>
          <w:lang w:eastAsia="fr-FR"/>
        </w:rPr>
        <w:t>, les activités économiques et les loisirs simultanément (26,9%des ménages)</w:t>
      </w:r>
      <w:r w:rsidRPr="00E67F64">
        <w:rPr>
          <w:rFonts w:ascii="Trebuchet MS" w:hAnsi="Trebuchet MS"/>
          <w:lang w:eastAsia="fr-FR"/>
        </w:rPr>
        <w:t xml:space="preserve">. </w:t>
      </w:r>
      <w:r>
        <w:rPr>
          <w:rFonts w:ascii="Trebuchet MS" w:hAnsi="Trebuchet MS"/>
          <w:lang w:eastAsia="fr-FR"/>
        </w:rPr>
        <w:t>Par contre, la ligne sous-traitée est utilisée par 85,2% des ménages pour les activités domestiques seulement.</w:t>
      </w:r>
    </w:p>
    <w:p w:rsidR="002320E0" w:rsidRPr="00C00A52" w:rsidRDefault="00605DE4" w:rsidP="00C00A52">
      <w:pPr>
        <w:keepNext/>
        <w:spacing w:after="0" w:line="240" w:lineRule="auto"/>
        <w:jc w:val="both"/>
        <w:rPr>
          <w:rFonts w:ascii="Trebuchet MS" w:hAnsi="Trebuchet MS"/>
          <w:sz w:val="20"/>
        </w:rPr>
      </w:pPr>
      <w:bookmarkStart w:id="165" w:name="_Toc426359262"/>
      <w:r w:rsidRPr="00C00A52">
        <w:rPr>
          <w:rFonts w:ascii="Trebuchet MS" w:hAnsi="Trebuchet MS"/>
          <w:b/>
          <w:sz w:val="20"/>
        </w:rPr>
        <w:t xml:space="preserve">Graphique </w:t>
      </w:r>
      <w:r w:rsidR="00792500" w:rsidRPr="00C00A52">
        <w:rPr>
          <w:rFonts w:ascii="Trebuchet MS" w:hAnsi="Trebuchet MS"/>
          <w:b/>
          <w:sz w:val="20"/>
        </w:rPr>
        <w:fldChar w:fldCharType="begin"/>
      </w:r>
      <w:r w:rsidRPr="00C00A52">
        <w:rPr>
          <w:rFonts w:ascii="Trebuchet MS" w:hAnsi="Trebuchet MS"/>
          <w:b/>
          <w:sz w:val="20"/>
        </w:rPr>
        <w:instrText xml:space="preserve"> SEQ Graphique \* ARABIC </w:instrText>
      </w:r>
      <w:r w:rsidR="00792500" w:rsidRPr="00C00A52">
        <w:rPr>
          <w:rFonts w:ascii="Trebuchet MS" w:hAnsi="Trebuchet MS"/>
          <w:b/>
          <w:sz w:val="20"/>
        </w:rPr>
        <w:fldChar w:fldCharType="separate"/>
      </w:r>
      <w:r w:rsidRPr="00C00A52">
        <w:rPr>
          <w:rFonts w:ascii="Trebuchet MS" w:hAnsi="Trebuchet MS"/>
          <w:b/>
          <w:noProof/>
          <w:sz w:val="20"/>
        </w:rPr>
        <w:t>8</w:t>
      </w:r>
      <w:r w:rsidR="00792500" w:rsidRPr="00C00A52">
        <w:rPr>
          <w:rFonts w:ascii="Trebuchet MS" w:hAnsi="Trebuchet MS"/>
          <w:b/>
          <w:sz w:val="20"/>
        </w:rPr>
        <w:fldChar w:fldCharType="end"/>
      </w:r>
      <w:r w:rsidRPr="00C00A52">
        <w:rPr>
          <w:rFonts w:ascii="Trebuchet MS" w:hAnsi="Trebuchet MS"/>
          <w:b/>
          <w:sz w:val="20"/>
        </w:rPr>
        <w:t>: Répartition (%) des ménages selon la situation d’activité de leur chef selon le département et le milieu de résidence</w:t>
      </w:r>
      <w:bookmarkEnd w:id="165"/>
    </w:p>
    <w:p w:rsidR="00605DE4" w:rsidRDefault="00605DE4" w:rsidP="00C00A52">
      <w:pPr>
        <w:keepNext/>
        <w:spacing w:after="0"/>
        <w:jc w:val="both"/>
        <w:rPr>
          <w:rFonts w:ascii="Trebuchet MS" w:hAnsi="Trebuchet MS"/>
        </w:rPr>
      </w:pPr>
      <w:r w:rsidRPr="00F426F4">
        <w:rPr>
          <w:rFonts w:ascii="Trebuchet MS" w:hAnsi="Trebuchet MS"/>
          <w:noProof/>
          <w:lang w:eastAsia="fr-FR"/>
        </w:rPr>
        <w:drawing>
          <wp:inline distT="0" distB="0" distL="0" distR="0">
            <wp:extent cx="5760720" cy="3486651"/>
            <wp:effectExtent l="19050" t="0" r="11430" b="0"/>
            <wp:docPr id="41"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05DE4" w:rsidRPr="00C00A52" w:rsidRDefault="00605DE4" w:rsidP="00C00A52">
      <w:pPr>
        <w:keepNext/>
        <w:spacing w:after="0"/>
        <w:jc w:val="both"/>
        <w:rPr>
          <w:rFonts w:ascii="Trebuchet MS" w:hAnsi="Trebuchet MS" w:cs="Arial"/>
          <w:b/>
          <w:bCs/>
          <w:color w:val="000000"/>
        </w:rPr>
      </w:pPr>
      <w:r w:rsidRPr="00C00A52">
        <w:rPr>
          <w:rFonts w:ascii="Trebuchet MS" w:hAnsi="Trebuchet MS" w:cs="Arial"/>
          <w:b/>
          <w:bCs/>
          <w:color w:val="000000"/>
          <w:sz w:val="20"/>
        </w:rPr>
        <w:t>Source : ECEB, INSAE, 2015</w:t>
      </w:r>
    </w:p>
    <w:p w:rsidR="00605DE4" w:rsidRDefault="00605DE4" w:rsidP="002320E0">
      <w:pPr>
        <w:spacing w:after="0"/>
        <w:jc w:val="both"/>
        <w:rPr>
          <w:rFonts w:ascii="Trebuchet MS" w:hAnsi="Trebuchet MS" w:cs="Arial"/>
          <w:bCs/>
          <w:color w:val="000000"/>
        </w:rPr>
      </w:pPr>
    </w:p>
    <w:p w:rsidR="002320E0" w:rsidRDefault="002320E0" w:rsidP="002320E0">
      <w:pPr>
        <w:jc w:val="both"/>
        <w:rPr>
          <w:rFonts w:ascii="Trebuchet MS" w:hAnsi="Trebuchet MS"/>
        </w:rPr>
      </w:pPr>
    </w:p>
    <w:p w:rsidR="002320E0" w:rsidRPr="00F512D9" w:rsidRDefault="002320E0" w:rsidP="002320E0">
      <w:pPr>
        <w:spacing w:line="360" w:lineRule="auto"/>
        <w:jc w:val="both"/>
        <w:rPr>
          <w:rFonts w:ascii="Times New Roman" w:hAnsi="Times New Roman"/>
          <w:sz w:val="24"/>
          <w:szCs w:val="24"/>
          <w:lang w:eastAsia="fr-FR"/>
        </w:rPr>
        <w:sectPr w:rsidR="002320E0" w:rsidRPr="00F512D9" w:rsidSect="00605DE4">
          <w:pgSz w:w="11906" w:h="16838"/>
          <w:pgMar w:top="1560" w:right="1417" w:bottom="851" w:left="1417" w:header="708" w:footer="0" w:gutter="0"/>
          <w:cols w:space="708"/>
          <w:docGrid w:linePitch="360"/>
        </w:sectPr>
      </w:pPr>
    </w:p>
    <w:p w:rsidR="002320E0" w:rsidRDefault="00605DE4" w:rsidP="00605DE4">
      <w:pPr>
        <w:pStyle w:val="Titre4"/>
      </w:pPr>
      <w:bookmarkStart w:id="166" w:name="_Toc426359455"/>
      <w:r>
        <w:t xml:space="preserve">2.3.2. </w:t>
      </w:r>
      <w:r w:rsidR="002320E0">
        <w:t>Dépenses en énergies effectuées par les ménages</w:t>
      </w:r>
      <w:bookmarkEnd w:id="166"/>
    </w:p>
    <w:p w:rsidR="002320E0" w:rsidRDefault="002320E0" w:rsidP="00A0430A">
      <w:pPr>
        <w:jc w:val="both"/>
        <w:rPr>
          <w:rFonts w:ascii="Trebuchet MS" w:hAnsi="Trebuchet MS"/>
          <w:lang w:eastAsia="fr-FR"/>
        </w:rPr>
      </w:pPr>
      <w:r>
        <w:rPr>
          <w:rFonts w:ascii="Trebuchet MS" w:hAnsi="Trebuchet MS"/>
          <w:lang w:eastAsia="fr-FR"/>
        </w:rPr>
        <w:t xml:space="preserve">Les résultats du tableau ci-après révèlent que les dépenses des ménages utilisant la ligne directe de la SBEE sont estimées à 10 759 FCFA en moyenne par mois ; ce qui donne en moyenne 130 628 FCFA au cours des douze (12) derniers mois précédant la date de l’enquête. Pour, </w:t>
      </w:r>
      <w:r w:rsidRPr="00F426F4">
        <w:rPr>
          <w:rFonts w:ascii="Trebuchet MS" w:hAnsi="Trebuchet MS"/>
          <w:lang w:eastAsia="fr-FR"/>
        </w:rPr>
        <w:t xml:space="preserve">la ligne sous-traitée de la SBEE </w:t>
      </w:r>
      <w:r>
        <w:rPr>
          <w:rFonts w:ascii="Trebuchet MS" w:hAnsi="Trebuchet MS"/>
          <w:lang w:eastAsia="fr-FR"/>
        </w:rPr>
        <w:t xml:space="preserve">les dépenses mensuelles sont estimées à </w:t>
      </w:r>
      <w:r w:rsidRPr="00F426F4">
        <w:rPr>
          <w:rFonts w:ascii="Trebuchet MS" w:hAnsi="Trebuchet MS"/>
          <w:lang w:eastAsia="fr-FR"/>
        </w:rPr>
        <w:t>5</w:t>
      </w:r>
      <w:r>
        <w:rPr>
          <w:rFonts w:ascii="Trebuchet MS" w:hAnsi="Trebuchet MS"/>
          <w:lang w:eastAsia="fr-FR"/>
        </w:rPr>
        <w:t> </w:t>
      </w:r>
      <w:r w:rsidRPr="00F426F4">
        <w:rPr>
          <w:rFonts w:ascii="Trebuchet MS" w:hAnsi="Trebuchet MS"/>
          <w:lang w:eastAsia="fr-FR"/>
        </w:rPr>
        <w:t>990 FCFA</w:t>
      </w:r>
      <w:r>
        <w:rPr>
          <w:rFonts w:ascii="Trebuchet MS" w:hAnsi="Trebuchet MS"/>
          <w:lang w:eastAsia="fr-FR"/>
        </w:rPr>
        <w:t xml:space="preserve"> en moyenne. Comparativement à l’électricité du réseau de la SBEE, l’usage de groupe électrogène (5 002 FCFA par mois) revient légèrement un peu moins cher pour les ménages qui l’utilisent comme source d’énergie. Par ailleurs, </w:t>
      </w:r>
      <w:r w:rsidRPr="00F426F4">
        <w:rPr>
          <w:rFonts w:ascii="Trebuchet MS" w:hAnsi="Trebuchet MS"/>
          <w:lang w:eastAsia="fr-FR"/>
        </w:rPr>
        <w:t>le bois de chauffe (4</w:t>
      </w:r>
      <w:r>
        <w:rPr>
          <w:rFonts w:ascii="Trebuchet MS" w:hAnsi="Trebuchet MS"/>
          <w:lang w:eastAsia="fr-FR"/>
        </w:rPr>
        <w:t> </w:t>
      </w:r>
      <w:r w:rsidRPr="00F426F4">
        <w:rPr>
          <w:rFonts w:ascii="Trebuchet MS" w:hAnsi="Trebuchet MS"/>
          <w:lang w:eastAsia="fr-FR"/>
        </w:rPr>
        <w:t>711</w:t>
      </w:r>
      <w:r>
        <w:rPr>
          <w:rFonts w:ascii="Trebuchet MS" w:hAnsi="Trebuchet MS"/>
          <w:lang w:eastAsia="fr-FR"/>
        </w:rPr>
        <w:t> </w:t>
      </w:r>
      <w:r w:rsidRPr="00F426F4">
        <w:rPr>
          <w:rFonts w:ascii="Trebuchet MS" w:hAnsi="Trebuchet MS"/>
          <w:lang w:eastAsia="fr-FR"/>
        </w:rPr>
        <w:t>FCFA) et le pétrole (2 632 FCFA)</w:t>
      </w:r>
      <w:r>
        <w:rPr>
          <w:rFonts w:ascii="Trebuchet MS" w:hAnsi="Trebuchet MS"/>
          <w:lang w:eastAsia="fr-FR"/>
        </w:rPr>
        <w:t xml:space="preserve"> reviennent également moins chers comparativement aux autres sources d’énergie électrique</w:t>
      </w:r>
      <w:r w:rsidRPr="00F426F4">
        <w:rPr>
          <w:rFonts w:ascii="Trebuchet MS" w:hAnsi="Trebuchet MS"/>
          <w:lang w:eastAsia="fr-FR"/>
        </w:rPr>
        <w:t>.</w:t>
      </w:r>
    </w:p>
    <w:p w:rsidR="002320E0" w:rsidRPr="00A0430A" w:rsidRDefault="00A0430A" w:rsidP="00A0430A">
      <w:pPr>
        <w:spacing w:before="240" w:after="0" w:line="240" w:lineRule="auto"/>
        <w:jc w:val="both"/>
        <w:rPr>
          <w:rFonts w:ascii="Trebuchet MS" w:hAnsi="Trebuchet MS"/>
          <w:b/>
          <w:lang w:eastAsia="fr-FR"/>
        </w:rPr>
      </w:pPr>
      <w:bookmarkStart w:id="167" w:name="_Toc426359345"/>
      <w:r w:rsidRPr="00A0430A">
        <w:rPr>
          <w:rFonts w:ascii="Trebuchet MS" w:eastAsia="Times New Roman" w:hAnsi="Trebuchet MS"/>
          <w:b/>
          <w:color w:val="000000"/>
          <w:sz w:val="20"/>
          <w:lang w:eastAsia="fr-FR"/>
        </w:rPr>
        <w:t xml:space="preserve">Tableau </w:t>
      </w:r>
      <w:r w:rsidR="00792500" w:rsidRPr="00A0430A">
        <w:rPr>
          <w:rFonts w:ascii="Trebuchet MS" w:eastAsia="Times New Roman" w:hAnsi="Trebuchet MS"/>
          <w:b/>
          <w:color w:val="000000"/>
          <w:sz w:val="20"/>
          <w:lang w:eastAsia="fr-FR"/>
        </w:rPr>
        <w:fldChar w:fldCharType="begin"/>
      </w:r>
      <w:r w:rsidRPr="00A0430A">
        <w:rPr>
          <w:rFonts w:ascii="Trebuchet MS" w:eastAsia="Times New Roman" w:hAnsi="Trebuchet MS"/>
          <w:b/>
          <w:color w:val="000000"/>
          <w:sz w:val="20"/>
          <w:lang w:eastAsia="fr-FR"/>
        </w:rPr>
        <w:instrText xml:space="preserve"> SEQ Tableau \* ARABIC </w:instrText>
      </w:r>
      <w:r w:rsidR="00792500" w:rsidRPr="00A0430A">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26</w:t>
      </w:r>
      <w:r w:rsidR="00792500" w:rsidRPr="00A0430A">
        <w:rPr>
          <w:rFonts w:ascii="Trebuchet MS" w:eastAsia="Times New Roman" w:hAnsi="Trebuchet MS"/>
          <w:b/>
          <w:color w:val="000000"/>
          <w:sz w:val="20"/>
          <w:lang w:eastAsia="fr-FR"/>
        </w:rPr>
        <w:fldChar w:fldCharType="end"/>
      </w:r>
      <w:r w:rsidRPr="00A0430A">
        <w:rPr>
          <w:rFonts w:ascii="Trebuchet MS" w:eastAsia="Times New Roman" w:hAnsi="Trebuchet MS"/>
          <w:b/>
          <w:color w:val="000000"/>
          <w:sz w:val="20"/>
          <w:lang w:eastAsia="fr-FR"/>
        </w:rPr>
        <w:t>: Dépenses moyennes mensuelles et annuelles effectuées par les ménages dans l’utilisation des différentes sources d’énergie</w:t>
      </w:r>
      <w:bookmarkEnd w:id="167"/>
    </w:p>
    <w:tbl>
      <w:tblPr>
        <w:tblW w:w="5000" w:type="pct"/>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756"/>
        <w:gridCol w:w="1701"/>
        <w:gridCol w:w="1984"/>
        <w:gridCol w:w="1771"/>
      </w:tblGrid>
      <w:tr w:rsidR="002320E0" w:rsidRPr="00A0430A" w:rsidTr="00A0430A">
        <w:trPr>
          <w:trHeight w:val="1271"/>
        </w:trPr>
        <w:tc>
          <w:tcPr>
            <w:tcW w:w="2039" w:type="pct"/>
            <w:tcBorders>
              <w:top w:val="double" w:sz="4" w:space="0" w:color="auto"/>
              <w:bottom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cs="Arial"/>
                <w:b/>
                <w:bCs/>
                <w:color w:val="000000"/>
                <w:lang w:eastAsia="fr-FR"/>
              </w:rPr>
              <w:t> </w:t>
            </w:r>
          </w:p>
        </w:tc>
        <w:tc>
          <w:tcPr>
            <w:tcW w:w="923"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moyenne mensuelle</w:t>
            </w:r>
            <w:r w:rsidRPr="00A0430A">
              <w:rPr>
                <w:rFonts w:ascii="Trebuchet MS" w:eastAsia="Times New Roman" w:hAnsi="Trebuchet MS"/>
                <w:color w:val="000000"/>
                <w:lang w:eastAsia="fr-FR"/>
              </w:rPr>
              <w:br/>
              <w:t>(en FCFA)</w:t>
            </w:r>
          </w:p>
        </w:tc>
        <w:tc>
          <w:tcPr>
            <w:tcW w:w="1077"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Dépenses totales annuelles en 2014 ou au cours des 12 derniers mois</w:t>
            </w:r>
            <w:r w:rsidRPr="00A0430A">
              <w:rPr>
                <w:rFonts w:ascii="Trebuchet MS" w:eastAsia="Times New Roman" w:hAnsi="Trebuchet MS"/>
                <w:color w:val="000000"/>
                <w:lang w:eastAsia="fr-FR"/>
              </w:rPr>
              <w:br/>
              <w:t>(en F CFA)</w:t>
            </w:r>
          </w:p>
        </w:tc>
        <w:tc>
          <w:tcPr>
            <w:tcW w:w="961"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utilisant la source d'énergie</w:t>
            </w:r>
          </w:p>
        </w:tc>
      </w:tr>
      <w:tr w:rsidR="002320E0" w:rsidRPr="00A0430A" w:rsidTr="00A0430A">
        <w:trPr>
          <w:trHeight w:val="300"/>
        </w:trPr>
        <w:tc>
          <w:tcPr>
            <w:tcW w:w="2039" w:type="pct"/>
            <w:tcBorders>
              <w:top w:val="single" w:sz="4" w:space="0" w:color="auto"/>
            </w:tcBorders>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Ligne directe de la SBEE                      </w:t>
            </w:r>
          </w:p>
        </w:tc>
        <w:tc>
          <w:tcPr>
            <w:tcW w:w="923" w:type="pct"/>
            <w:tcBorders>
              <w:top w:val="single" w:sz="4" w:space="0" w:color="auto"/>
            </w:tcBorders>
            <w:shd w:val="clear" w:color="auto" w:fill="auto"/>
            <w:vAlign w:val="center"/>
            <w:hideMark/>
          </w:tcPr>
          <w:p w:rsidR="002320E0" w:rsidRPr="00923B78" w:rsidRDefault="002320E0" w:rsidP="00A0430A">
            <w:pPr>
              <w:spacing w:after="0" w:line="240" w:lineRule="auto"/>
              <w:jc w:val="center"/>
              <w:rPr>
                <w:rFonts w:ascii="Trebuchet MS" w:eastAsia="Times New Roman" w:hAnsi="Trebuchet MS"/>
                <w:color w:val="000000"/>
                <w:lang w:eastAsia="fr-FR"/>
              </w:rPr>
            </w:pPr>
            <w:r w:rsidRPr="00923B78">
              <w:rPr>
                <w:rFonts w:ascii="Trebuchet MS" w:eastAsia="Times New Roman" w:hAnsi="Trebuchet MS"/>
                <w:color w:val="000000"/>
                <w:lang w:eastAsia="fr-FR"/>
              </w:rPr>
              <w:t>10 759</w:t>
            </w:r>
          </w:p>
        </w:tc>
        <w:tc>
          <w:tcPr>
            <w:tcW w:w="1077" w:type="pct"/>
            <w:tcBorders>
              <w:top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130 628</w:t>
            </w:r>
          </w:p>
        </w:tc>
        <w:tc>
          <w:tcPr>
            <w:tcW w:w="961" w:type="pct"/>
            <w:tcBorders>
              <w:top w:val="single" w:sz="4" w:space="0" w:color="auto"/>
            </w:tcBorders>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877</w:t>
            </w:r>
          </w:p>
        </w:tc>
      </w:tr>
      <w:tr w:rsidR="002320E0" w:rsidRPr="00A0430A" w:rsidTr="00A0430A">
        <w:trPr>
          <w:trHeight w:val="6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Ligne sous-traitée de la SBEE (toile d’araignée)                       </w:t>
            </w:r>
          </w:p>
        </w:tc>
        <w:tc>
          <w:tcPr>
            <w:tcW w:w="923" w:type="pct"/>
            <w:shd w:val="clear" w:color="auto" w:fill="auto"/>
            <w:vAlign w:val="center"/>
            <w:hideMark/>
          </w:tcPr>
          <w:p w:rsidR="002320E0" w:rsidRPr="00923B78" w:rsidRDefault="002320E0" w:rsidP="00A0430A">
            <w:pPr>
              <w:spacing w:after="0" w:line="240" w:lineRule="auto"/>
              <w:jc w:val="center"/>
              <w:rPr>
                <w:rFonts w:ascii="Trebuchet MS" w:eastAsia="Times New Roman" w:hAnsi="Trebuchet MS"/>
                <w:color w:val="000000"/>
                <w:lang w:eastAsia="fr-FR"/>
              </w:rPr>
            </w:pPr>
            <w:r w:rsidRPr="00923B78">
              <w:rPr>
                <w:rFonts w:ascii="Trebuchet MS" w:eastAsia="Times New Roman" w:hAnsi="Trebuchet MS"/>
                <w:color w:val="000000"/>
                <w:lang w:eastAsia="fr-FR"/>
              </w:rPr>
              <w:t>5 990</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67 783</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467</w:t>
            </w:r>
          </w:p>
        </w:tc>
      </w:tr>
      <w:tr w:rsidR="002320E0" w:rsidRPr="00A0430A" w:rsidTr="00A0430A">
        <w:trPr>
          <w:trHeight w:val="371"/>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Groupe électrogène à gas-oil ou à essence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5 002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61 600</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427</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Pétrole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2 632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31 617</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1592</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Energie solaire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2 743</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20 443</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80</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Charbon de bois</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1 839</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21 848</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1291</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Pile à torche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1 396</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15 044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2814</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Batterie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2 117</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24 424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41</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Gaz de pétrole liquéfié (GPL ou LPG)</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2 708</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29 732</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73</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Gaz de propane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1 422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15 020</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92</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Bougie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575</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5 378</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657</w:t>
            </w:r>
          </w:p>
        </w:tc>
      </w:tr>
      <w:tr w:rsidR="002320E0" w:rsidRPr="00A0430A" w:rsidTr="00A0430A">
        <w:trPr>
          <w:trHeight w:val="382"/>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Biomasse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Bois de chauffe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4 711</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423 164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1390</w:t>
            </w:r>
          </w:p>
        </w:tc>
      </w:tr>
      <w:tr w:rsidR="002320E0" w:rsidRPr="00A0430A" w:rsidTr="00A0430A">
        <w:trPr>
          <w:trHeight w:val="300"/>
        </w:trPr>
        <w:tc>
          <w:tcPr>
            <w:tcW w:w="2039" w:type="pct"/>
            <w:tcBorders>
              <w:bottom w:val="double" w:sz="4" w:space="0" w:color="auto"/>
            </w:tcBorders>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Autre source</w:t>
            </w:r>
          </w:p>
        </w:tc>
        <w:tc>
          <w:tcPr>
            <w:tcW w:w="923" w:type="pct"/>
            <w:tcBorders>
              <w:bottom w:val="doub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35 350</w:t>
            </w:r>
          </w:p>
        </w:tc>
        <w:tc>
          <w:tcPr>
            <w:tcW w:w="1077" w:type="pct"/>
            <w:tcBorders>
              <w:bottom w:val="doub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414 200</w:t>
            </w:r>
          </w:p>
        </w:tc>
        <w:tc>
          <w:tcPr>
            <w:tcW w:w="961" w:type="pct"/>
            <w:tcBorders>
              <w:bottom w:val="double" w:sz="4" w:space="0" w:color="auto"/>
            </w:tcBorders>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51</w:t>
            </w:r>
          </w:p>
        </w:tc>
      </w:tr>
      <w:tr w:rsidR="002320E0" w:rsidRPr="00A0430A" w:rsidTr="00A0430A">
        <w:tblPrEx>
          <w:tblBorders>
            <w:bottom w:val="none" w:sz="0" w:space="0" w:color="auto"/>
          </w:tblBorders>
        </w:tblPrEx>
        <w:trPr>
          <w:trHeight w:val="369"/>
        </w:trPr>
        <w:tc>
          <w:tcPr>
            <w:tcW w:w="5000" w:type="pct"/>
            <w:gridSpan w:val="4"/>
            <w:tcBorders>
              <w:top w:val="double" w:sz="4" w:space="0" w:color="auto"/>
            </w:tcBorders>
            <w:shd w:val="clear" w:color="auto" w:fill="auto"/>
            <w:hideMark/>
          </w:tcPr>
          <w:p w:rsidR="002320E0" w:rsidRPr="00A0430A" w:rsidRDefault="002320E0" w:rsidP="00A0430A">
            <w:pPr>
              <w:spacing w:line="240" w:lineRule="auto"/>
              <w:rPr>
                <w:rFonts w:ascii="Trebuchet MS" w:eastAsia="Times New Roman" w:hAnsi="Trebuchet MS"/>
                <w:b/>
                <w:color w:val="000000"/>
                <w:lang w:eastAsia="fr-FR"/>
              </w:rPr>
            </w:pPr>
            <w:r w:rsidRPr="00A0430A">
              <w:rPr>
                <w:rFonts w:ascii="Trebuchet MS" w:hAnsi="Trebuchet MS" w:cs="Arial"/>
                <w:b/>
                <w:bCs/>
                <w:color w:val="000000"/>
              </w:rPr>
              <w:t>Source : ECEB, INSAE, 2015</w:t>
            </w:r>
          </w:p>
        </w:tc>
      </w:tr>
    </w:tbl>
    <w:p w:rsidR="002320E0" w:rsidRDefault="002320E0" w:rsidP="00A0430A">
      <w:pPr>
        <w:spacing w:before="240"/>
        <w:jc w:val="both"/>
        <w:rPr>
          <w:rFonts w:ascii="Trebuchet MS" w:hAnsi="Trebuchet MS"/>
          <w:lang w:eastAsia="fr-FR"/>
        </w:rPr>
      </w:pPr>
      <w:r w:rsidRPr="00F426F4">
        <w:rPr>
          <w:rFonts w:ascii="Trebuchet MS" w:hAnsi="Trebuchet MS"/>
          <w:lang w:eastAsia="fr-FR"/>
        </w:rPr>
        <w:t>L’analyse du tableau ci-</w:t>
      </w:r>
      <w:r>
        <w:rPr>
          <w:rFonts w:ascii="Trebuchet MS" w:hAnsi="Trebuchet MS"/>
          <w:lang w:eastAsia="fr-FR"/>
        </w:rPr>
        <w:t>après</w:t>
      </w:r>
      <w:r w:rsidRPr="00F426F4">
        <w:rPr>
          <w:rFonts w:ascii="Trebuchet MS" w:hAnsi="Trebuchet MS"/>
          <w:lang w:eastAsia="fr-FR"/>
        </w:rPr>
        <w:t xml:space="preserve"> révèle </w:t>
      </w:r>
      <w:r>
        <w:rPr>
          <w:rFonts w:ascii="Trebuchet MS" w:hAnsi="Trebuchet MS"/>
          <w:lang w:eastAsia="fr-FR"/>
        </w:rPr>
        <w:t xml:space="preserve">que les ménages dont le chef </w:t>
      </w:r>
      <w:r w:rsidRPr="00F426F4">
        <w:rPr>
          <w:rFonts w:ascii="Trebuchet MS" w:hAnsi="Trebuchet MS"/>
          <w:lang w:eastAsia="fr-FR"/>
        </w:rPr>
        <w:t xml:space="preserve">est un homme </w:t>
      </w:r>
      <w:r>
        <w:rPr>
          <w:rFonts w:ascii="Trebuchet MS" w:hAnsi="Trebuchet MS"/>
          <w:lang w:eastAsia="fr-FR"/>
        </w:rPr>
        <w:t>dépensent plus dans l’utilisation des sources d’énergie électrique comparativement aux ménages dont le chef est une femme</w:t>
      </w:r>
      <w:r w:rsidRPr="00F426F4">
        <w:rPr>
          <w:rFonts w:ascii="Trebuchet MS" w:hAnsi="Trebuchet MS"/>
          <w:lang w:eastAsia="fr-FR"/>
        </w:rPr>
        <w:t xml:space="preserve">. </w:t>
      </w:r>
      <w:r>
        <w:rPr>
          <w:rFonts w:ascii="Trebuchet MS" w:hAnsi="Trebuchet MS"/>
          <w:lang w:eastAsia="fr-FR"/>
        </w:rPr>
        <w:t xml:space="preserve">En effet, pour la ligne directe de SBEE, les dépenses moyennes des ménages dirigés par un homme sont estimées à </w:t>
      </w:r>
      <w:r w:rsidRPr="00F426F4">
        <w:rPr>
          <w:rFonts w:ascii="Trebuchet MS" w:hAnsi="Trebuchet MS"/>
          <w:lang w:eastAsia="fr-FR"/>
        </w:rPr>
        <w:t>11</w:t>
      </w:r>
      <w:r>
        <w:rPr>
          <w:rFonts w:ascii="Trebuchet MS" w:hAnsi="Trebuchet MS"/>
          <w:lang w:eastAsia="fr-FR"/>
        </w:rPr>
        <w:t> </w:t>
      </w:r>
      <w:r w:rsidRPr="00F426F4">
        <w:rPr>
          <w:rFonts w:ascii="Trebuchet MS" w:hAnsi="Trebuchet MS"/>
          <w:lang w:eastAsia="fr-FR"/>
        </w:rPr>
        <w:t>341</w:t>
      </w:r>
      <w:r>
        <w:rPr>
          <w:rFonts w:ascii="Trebuchet MS" w:hAnsi="Trebuchet MS"/>
          <w:lang w:eastAsia="fr-FR"/>
        </w:rPr>
        <w:t> F</w:t>
      </w:r>
      <w:r w:rsidRPr="00F426F4">
        <w:rPr>
          <w:rFonts w:ascii="Trebuchet MS" w:hAnsi="Trebuchet MS"/>
          <w:lang w:eastAsia="fr-FR"/>
        </w:rPr>
        <w:t>CFA</w:t>
      </w:r>
      <w:r>
        <w:rPr>
          <w:rFonts w:ascii="Trebuchet MS" w:hAnsi="Trebuchet MS"/>
          <w:lang w:eastAsia="fr-FR"/>
        </w:rPr>
        <w:t xml:space="preserve"> par mois (soit un total de </w:t>
      </w:r>
      <w:r w:rsidRPr="00615134">
        <w:rPr>
          <w:rFonts w:ascii="Trebuchet MS" w:hAnsi="Trebuchet MS"/>
          <w:lang w:eastAsia="fr-FR"/>
        </w:rPr>
        <w:t>133 165 FCFA pour les douze derniers mois précédant l’enquête)</w:t>
      </w:r>
      <w:r w:rsidR="001954A9">
        <w:rPr>
          <w:rFonts w:ascii="Trebuchet MS" w:hAnsi="Trebuchet MS"/>
          <w:lang w:eastAsia="fr-FR"/>
        </w:rPr>
        <w:t xml:space="preserve"> </w:t>
      </w:r>
      <w:r w:rsidRPr="00F426F4">
        <w:rPr>
          <w:rFonts w:ascii="Trebuchet MS" w:hAnsi="Trebuchet MS"/>
          <w:lang w:eastAsia="fr-FR"/>
        </w:rPr>
        <w:t>contre 8</w:t>
      </w:r>
      <w:r>
        <w:rPr>
          <w:rFonts w:ascii="Trebuchet MS" w:hAnsi="Trebuchet MS"/>
          <w:lang w:eastAsia="fr-FR"/>
        </w:rPr>
        <w:t> </w:t>
      </w:r>
      <w:r w:rsidRPr="00F426F4">
        <w:rPr>
          <w:rFonts w:ascii="Trebuchet MS" w:hAnsi="Trebuchet MS"/>
          <w:lang w:eastAsia="fr-FR"/>
        </w:rPr>
        <w:t>579</w:t>
      </w:r>
      <w:r>
        <w:rPr>
          <w:rFonts w:ascii="Trebuchet MS" w:hAnsi="Trebuchet MS"/>
          <w:lang w:eastAsia="fr-FR"/>
        </w:rPr>
        <w:t> F</w:t>
      </w:r>
      <w:r w:rsidRPr="00F426F4">
        <w:rPr>
          <w:rFonts w:ascii="Trebuchet MS" w:hAnsi="Trebuchet MS"/>
          <w:lang w:eastAsia="fr-FR"/>
        </w:rPr>
        <w:t>CFA</w:t>
      </w:r>
      <w:r>
        <w:rPr>
          <w:rFonts w:ascii="Trebuchet MS" w:hAnsi="Trebuchet MS"/>
          <w:lang w:eastAsia="fr-FR"/>
        </w:rPr>
        <w:t xml:space="preserve"> par mois pour les ménages dirigés par une femme (soit un total de </w:t>
      </w:r>
      <w:r w:rsidRPr="00615134">
        <w:rPr>
          <w:rFonts w:ascii="Trebuchet MS" w:hAnsi="Trebuchet MS"/>
          <w:lang w:eastAsia="fr-FR"/>
        </w:rPr>
        <w:t>120 996 FCFA pour les douze derniers mois précédant l’enquête)</w:t>
      </w:r>
      <w:r>
        <w:rPr>
          <w:rFonts w:ascii="Trebuchet MS" w:hAnsi="Trebuchet MS"/>
          <w:lang w:eastAsia="fr-FR"/>
        </w:rPr>
        <w:t xml:space="preserve">. La même situation se présente pour la ligne sous–traitée et les groupes électrogènes. </w:t>
      </w:r>
    </w:p>
    <w:p w:rsidR="002320E0" w:rsidRPr="00A243CF" w:rsidRDefault="002320E0" w:rsidP="002320E0">
      <w:pPr>
        <w:jc w:val="both"/>
        <w:rPr>
          <w:rFonts w:ascii="Trebuchet MS" w:hAnsi="Trebuchet MS"/>
          <w:lang w:eastAsia="fr-FR"/>
        </w:rPr>
      </w:pPr>
      <w:r>
        <w:rPr>
          <w:rFonts w:ascii="Trebuchet MS" w:hAnsi="Trebuchet MS"/>
          <w:lang w:eastAsia="fr-FR"/>
        </w:rPr>
        <w:t>Par ailleurs, comme le montre les résultats du tableau, les dépenses mensuelles moyennes des ménages, dans l’utilisation des sources d’énergie électrique, augmentent avec le niveau d’instruction des chefs de ménage.</w:t>
      </w:r>
      <w:r w:rsidR="001954A9">
        <w:rPr>
          <w:rFonts w:ascii="Trebuchet MS" w:hAnsi="Trebuchet MS"/>
          <w:lang w:eastAsia="fr-FR"/>
        </w:rPr>
        <w:t xml:space="preserve"> </w:t>
      </w:r>
      <w:r>
        <w:rPr>
          <w:rFonts w:ascii="Trebuchet MS" w:hAnsi="Trebuchet MS"/>
          <w:lang w:eastAsia="fr-FR"/>
        </w:rPr>
        <w:t>En effet, l</w:t>
      </w:r>
      <w:r w:rsidRPr="00F426F4">
        <w:rPr>
          <w:rFonts w:ascii="Trebuchet MS" w:hAnsi="Trebuchet MS"/>
          <w:lang w:eastAsia="fr-FR"/>
        </w:rPr>
        <w:t xml:space="preserve">es dépenses moyennes mensuelles </w:t>
      </w:r>
      <w:r>
        <w:rPr>
          <w:rFonts w:ascii="Trebuchet MS" w:hAnsi="Trebuchet MS"/>
          <w:lang w:eastAsia="fr-FR"/>
        </w:rPr>
        <w:t>pour les ménages utilisant la ligne directe de la SBEE sont estimées à 15 258 </w:t>
      </w:r>
      <w:r w:rsidRPr="00F426F4">
        <w:rPr>
          <w:rFonts w:ascii="Trebuchet MS" w:hAnsi="Trebuchet MS"/>
          <w:lang w:eastAsia="fr-FR"/>
        </w:rPr>
        <w:t>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Pr="00F426F4">
        <w:rPr>
          <w:rFonts w:ascii="Trebuchet MS" w:hAnsi="Trebuchet MS"/>
          <w:lang w:eastAsia="fr-FR"/>
        </w:rPr>
        <w:t xml:space="preserve"> dont le chef de ménage a le niveau Supérieur,</w:t>
      </w:r>
      <w:r>
        <w:rPr>
          <w:rFonts w:ascii="Trebuchet MS" w:hAnsi="Trebuchet MS"/>
          <w:lang w:eastAsia="fr-FR"/>
        </w:rPr>
        <w:t xml:space="preserve"> contre 12 </w:t>
      </w:r>
      <w:r w:rsidRPr="00F426F4">
        <w:rPr>
          <w:rFonts w:ascii="Trebuchet MS" w:hAnsi="Trebuchet MS"/>
          <w:lang w:eastAsia="fr-FR"/>
        </w:rPr>
        <w:t>404</w:t>
      </w:r>
      <w:r>
        <w:rPr>
          <w:rFonts w:ascii="Trebuchet MS" w:hAnsi="Trebuchet MS"/>
          <w:lang w:eastAsia="fr-FR"/>
        </w:rPr>
        <w:t> </w:t>
      </w:r>
      <w:r w:rsidRPr="00F426F4">
        <w:rPr>
          <w:rFonts w:ascii="Trebuchet MS" w:hAnsi="Trebuchet MS"/>
          <w:lang w:eastAsia="fr-FR"/>
        </w:rPr>
        <w:t>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Pr="00F426F4">
        <w:rPr>
          <w:rFonts w:ascii="Trebuchet MS" w:hAnsi="Trebuchet MS"/>
          <w:lang w:eastAsia="fr-FR"/>
        </w:rPr>
        <w:t xml:space="preserve"> dont le chef de ménage a le niveau secondaire2, 10 361 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 dont le chef a</w:t>
      </w:r>
      <w:r w:rsidRPr="00F426F4">
        <w:rPr>
          <w:rFonts w:ascii="Trebuchet MS" w:hAnsi="Trebuchet MS"/>
          <w:lang w:eastAsia="fr-FR"/>
        </w:rPr>
        <w:t xml:space="preserve"> le niveau secondaire</w:t>
      </w:r>
      <w:r>
        <w:rPr>
          <w:rFonts w:ascii="Trebuchet MS" w:hAnsi="Trebuchet MS"/>
          <w:lang w:eastAsia="fr-FR"/>
        </w:rPr>
        <w:t xml:space="preserve"> 1 et 10 </w:t>
      </w:r>
      <w:r w:rsidRPr="00F426F4">
        <w:rPr>
          <w:rFonts w:ascii="Trebuchet MS" w:hAnsi="Trebuchet MS"/>
          <w:lang w:eastAsia="fr-FR"/>
        </w:rPr>
        <w:t>192 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001954A9">
        <w:rPr>
          <w:rFonts w:ascii="Trebuchet MS" w:hAnsi="Trebuchet MS"/>
          <w:lang w:eastAsia="fr-FR"/>
        </w:rPr>
        <w:t xml:space="preserve"> </w:t>
      </w:r>
      <w:r>
        <w:rPr>
          <w:rFonts w:ascii="Trebuchet MS" w:hAnsi="Trebuchet MS"/>
          <w:lang w:eastAsia="fr-FR"/>
        </w:rPr>
        <w:t>dont le</w:t>
      </w:r>
      <w:r w:rsidRPr="00F426F4">
        <w:rPr>
          <w:rFonts w:ascii="Trebuchet MS" w:hAnsi="Trebuchet MS"/>
          <w:lang w:eastAsia="fr-FR"/>
        </w:rPr>
        <w:t xml:space="preserve"> chef a le niveau primaire.</w:t>
      </w:r>
      <w:r w:rsidR="001954A9">
        <w:rPr>
          <w:rFonts w:ascii="Trebuchet MS" w:hAnsi="Trebuchet MS"/>
          <w:lang w:eastAsia="fr-FR"/>
        </w:rPr>
        <w:t xml:space="preserve"> </w:t>
      </w:r>
      <w:r w:rsidRPr="00A243CF">
        <w:rPr>
          <w:rFonts w:ascii="Trebuchet MS" w:hAnsi="Trebuchet MS"/>
          <w:lang w:eastAsia="fr-FR"/>
        </w:rPr>
        <w:t>La même situation se présente pour les autres sources d’énergie électrique (toile d’araignée et groupe électrogène).</w:t>
      </w:r>
    </w:p>
    <w:p w:rsidR="002320E0" w:rsidRPr="00C31E09" w:rsidRDefault="002320E0" w:rsidP="002320E0">
      <w:pPr>
        <w:jc w:val="both"/>
        <w:rPr>
          <w:rFonts w:ascii="Trebuchet MS" w:hAnsi="Trebuchet MS"/>
          <w:lang w:eastAsia="fr-FR"/>
        </w:rPr>
      </w:pPr>
      <w:r w:rsidRPr="00C31E09">
        <w:rPr>
          <w:rFonts w:ascii="Trebuchet MS" w:hAnsi="Trebuchet MS"/>
          <w:lang w:eastAsia="fr-FR"/>
        </w:rPr>
        <w:t xml:space="preserve">L’analyse selon le milieu de résidence révèle que les ménages urbains dépensent beaucoup plus dans l’utilisation des sources d’énergie électrique. Les dépenses moyennes des ménages utilisant la ligne directe de la SBEE sont estimées à 11 278  FCFA par mois en milieu urbain contre 9 829 FCFA par mois en milieu rural. </w:t>
      </w:r>
    </w:p>
    <w:p w:rsidR="002320E0" w:rsidRDefault="002320E0" w:rsidP="002320E0">
      <w:pPr>
        <w:jc w:val="both"/>
        <w:rPr>
          <w:rFonts w:ascii="Trebuchet MS" w:hAnsi="Trebuchet MS"/>
          <w:lang w:eastAsia="fr-FR"/>
        </w:rPr>
      </w:pPr>
      <w:r>
        <w:rPr>
          <w:rFonts w:ascii="Trebuchet MS" w:hAnsi="Trebuchet MS"/>
          <w:lang w:eastAsia="fr-FR"/>
        </w:rPr>
        <w:t>En outre, les dépenses moyennes mensuelles des ménages sont plus élevées et se situent au–dessus de la moyenne de l’échantillon dans les départements de l’Ouémé</w:t>
      </w:r>
      <w:r w:rsidRPr="00C16D89">
        <w:rPr>
          <w:rFonts w:ascii="Trebuchet MS" w:hAnsi="Trebuchet MS"/>
          <w:lang w:eastAsia="fr-FR"/>
        </w:rPr>
        <w:t xml:space="preserve"> (15 913 </w:t>
      </w:r>
      <w:r>
        <w:rPr>
          <w:rFonts w:ascii="Trebuchet MS" w:hAnsi="Trebuchet MS"/>
          <w:lang w:eastAsia="fr-FR"/>
        </w:rPr>
        <w:t xml:space="preserve">FCFA), de la </w:t>
      </w:r>
      <w:r w:rsidRPr="00C16D89">
        <w:rPr>
          <w:rFonts w:ascii="Trebuchet MS" w:hAnsi="Trebuchet MS"/>
          <w:lang w:eastAsia="fr-FR"/>
        </w:rPr>
        <w:t>D</w:t>
      </w:r>
      <w:r>
        <w:rPr>
          <w:rFonts w:ascii="Trebuchet MS" w:hAnsi="Trebuchet MS"/>
          <w:lang w:eastAsia="fr-FR"/>
        </w:rPr>
        <w:t>onga</w:t>
      </w:r>
      <w:r w:rsidRPr="00C16D89">
        <w:rPr>
          <w:rFonts w:ascii="Trebuchet MS" w:hAnsi="Trebuchet MS"/>
          <w:lang w:eastAsia="fr-FR"/>
        </w:rPr>
        <w:t xml:space="preserve"> (15 693 </w:t>
      </w:r>
      <w:r w:rsidRPr="00C31E09">
        <w:rPr>
          <w:rFonts w:ascii="Trebuchet MS" w:hAnsi="Trebuchet MS"/>
          <w:lang w:eastAsia="fr-FR"/>
        </w:rPr>
        <w:t>FCFA</w:t>
      </w:r>
      <w:r>
        <w:rPr>
          <w:rFonts w:ascii="Trebuchet MS" w:hAnsi="Trebuchet MS"/>
          <w:lang w:eastAsia="fr-FR"/>
        </w:rPr>
        <w:t xml:space="preserve">), du </w:t>
      </w:r>
      <w:r w:rsidRPr="00C16D89">
        <w:rPr>
          <w:rFonts w:ascii="Trebuchet MS" w:hAnsi="Trebuchet MS"/>
          <w:lang w:eastAsia="fr-FR"/>
        </w:rPr>
        <w:t xml:space="preserve">Littoral (14 148 </w:t>
      </w:r>
      <w:r w:rsidRPr="00C31E09">
        <w:rPr>
          <w:rFonts w:ascii="Trebuchet MS" w:hAnsi="Trebuchet MS"/>
          <w:lang w:eastAsia="fr-FR"/>
        </w:rPr>
        <w:t>FCFA</w:t>
      </w:r>
      <w:r>
        <w:rPr>
          <w:rFonts w:ascii="Trebuchet MS" w:hAnsi="Trebuchet MS"/>
          <w:lang w:eastAsia="fr-FR"/>
        </w:rPr>
        <w:t xml:space="preserve">), du </w:t>
      </w:r>
      <w:r w:rsidRPr="00C16D89">
        <w:rPr>
          <w:rFonts w:ascii="Trebuchet MS" w:hAnsi="Trebuchet MS"/>
          <w:lang w:eastAsia="fr-FR"/>
        </w:rPr>
        <w:t xml:space="preserve">Borgou (13 348 </w:t>
      </w:r>
      <w:r>
        <w:rPr>
          <w:rFonts w:ascii="Trebuchet MS" w:hAnsi="Trebuchet MS"/>
          <w:lang w:eastAsia="fr-FR"/>
        </w:rPr>
        <w:t>FCFA)  et de l’A</w:t>
      </w:r>
      <w:r w:rsidRPr="00C16D89">
        <w:rPr>
          <w:rFonts w:ascii="Trebuchet MS" w:hAnsi="Trebuchet MS"/>
          <w:lang w:eastAsia="fr-FR"/>
        </w:rPr>
        <w:t xml:space="preserve">libori (12 006 </w:t>
      </w:r>
      <w:r w:rsidRPr="00C31E09">
        <w:rPr>
          <w:rFonts w:ascii="Trebuchet MS" w:hAnsi="Trebuchet MS"/>
          <w:lang w:eastAsia="fr-FR"/>
        </w:rPr>
        <w:t>FCFA</w:t>
      </w:r>
      <w:r>
        <w:rPr>
          <w:rFonts w:ascii="Trebuchet MS" w:hAnsi="Trebuchet MS"/>
          <w:lang w:eastAsia="fr-FR"/>
        </w:rPr>
        <w:t>) comparativement aux autres départements.</w:t>
      </w:r>
    </w:p>
    <w:p w:rsidR="00A0430A" w:rsidRDefault="00A0430A" w:rsidP="002320E0">
      <w:pPr>
        <w:jc w:val="both"/>
        <w:rPr>
          <w:rFonts w:ascii="Trebuchet MS" w:hAnsi="Trebuchet MS"/>
          <w:lang w:eastAsia="fr-FR"/>
        </w:rPr>
      </w:pPr>
    </w:p>
    <w:p w:rsidR="002320E0" w:rsidRPr="00C16D89" w:rsidRDefault="002320E0" w:rsidP="002320E0">
      <w:pPr>
        <w:jc w:val="both"/>
        <w:rPr>
          <w:rFonts w:ascii="Trebuchet MS" w:hAnsi="Trebuchet MS"/>
          <w:lang w:eastAsia="fr-FR"/>
        </w:rPr>
        <w:sectPr w:rsidR="002320E0" w:rsidRPr="00C16D89" w:rsidSect="00605DE4">
          <w:pgSz w:w="11906" w:h="16838"/>
          <w:pgMar w:top="1560" w:right="1417" w:bottom="851" w:left="1417" w:header="708" w:footer="0" w:gutter="0"/>
          <w:cols w:space="708"/>
          <w:docGrid w:linePitch="360"/>
        </w:sectPr>
      </w:pPr>
    </w:p>
    <w:p w:rsidR="002320E0" w:rsidRDefault="002320E0" w:rsidP="002320E0">
      <w:pPr>
        <w:tabs>
          <w:tab w:val="left" w:pos="0"/>
        </w:tabs>
        <w:rPr>
          <w:lang w:eastAsia="fr-FR"/>
        </w:rPr>
      </w:pPr>
    </w:p>
    <w:p w:rsidR="00A0430A" w:rsidRPr="00A0430A" w:rsidRDefault="00A0430A" w:rsidP="00A0430A">
      <w:pPr>
        <w:tabs>
          <w:tab w:val="left" w:pos="0"/>
        </w:tabs>
        <w:spacing w:after="0" w:line="240" w:lineRule="auto"/>
        <w:rPr>
          <w:b/>
          <w:lang w:eastAsia="fr-FR"/>
        </w:rPr>
      </w:pPr>
      <w:bookmarkStart w:id="168" w:name="_Toc426359346"/>
      <w:r w:rsidRPr="00A0430A">
        <w:rPr>
          <w:rFonts w:ascii="Trebuchet MS" w:eastAsia="Times New Roman" w:hAnsi="Trebuchet MS"/>
          <w:b/>
          <w:color w:val="000000"/>
          <w:sz w:val="20"/>
          <w:lang w:eastAsia="fr-FR"/>
        </w:rPr>
        <w:t xml:space="preserve">Tableau </w:t>
      </w:r>
      <w:r w:rsidR="00792500" w:rsidRPr="00A0430A">
        <w:rPr>
          <w:rFonts w:ascii="Trebuchet MS" w:eastAsia="Times New Roman" w:hAnsi="Trebuchet MS"/>
          <w:b/>
          <w:color w:val="000000"/>
          <w:sz w:val="20"/>
          <w:lang w:eastAsia="fr-FR"/>
        </w:rPr>
        <w:fldChar w:fldCharType="begin"/>
      </w:r>
      <w:r w:rsidRPr="00A0430A">
        <w:rPr>
          <w:rFonts w:ascii="Trebuchet MS" w:eastAsia="Times New Roman" w:hAnsi="Trebuchet MS"/>
          <w:b/>
          <w:color w:val="000000"/>
          <w:sz w:val="20"/>
          <w:lang w:eastAsia="fr-FR"/>
        </w:rPr>
        <w:instrText xml:space="preserve"> SEQ Tableau \* ARABIC </w:instrText>
      </w:r>
      <w:r w:rsidR="00792500" w:rsidRPr="00A0430A">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27</w:t>
      </w:r>
      <w:r w:rsidR="00792500" w:rsidRPr="00A0430A">
        <w:rPr>
          <w:rFonts w:ascii="Trebuchet MS" w:eastAsia="Times New Roman" w:hAnsi="Trebuchet MS"/>
          <w:b/>
          <w:color w:val="000000"/>
          <w:sz w:val="20"/>
          <w:lang w:eastAsia="fr-FR"/>
        </w:rPr>
        <w:fldChar w:fldCharType="end"/>
      </w:r>
      <w:r w:rsidRPr="00A0430A">
        <w:rPr>
          <w:rFonts w:ascii="Trebuchet MS" w:eastAsia="Times New Roman" w:hAnsi="Trebuchet MS"/>
          <w:b/>
          <w:color w:val="000000"/>
          <w:sz w:val="20"/>
          <w:lang w:eastAsia="fr-FR"/>
        </w:rPr>
        <w:t>: Dépenses moyennes mensuelles et annuelles des ménages dans l’utilisation de ligne directe de la SBEE, de la ligne sous-traitée de la SBEE et du groupe électrogène suivant le sexe et le niveau d’instruction du chef de ménage</w:t>
      </w:r>
      <w:bookmarkEnd w:id="168"/>
    </w:p>
    <w:tbl>
      <w:tblPr>
        <w:tblW w:w="5000" w:type="pct"/>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2897"/>
        <w:gridCol w:w="1142"/>
        <w:gridCol w:w="1155"/>
        <w:gridCol w:w="1133"/>
        <w:gridCol w:w="1191"/>
        <w:gridCol w:w="1164"/>
        <w:gridCol w:w="1133"/>
        <w:gridCol w:w="1142"/>
        <w:gridCol w:w="1302"/>
        <w:gridCol w:w="1316"/>
      </w:tblGrid>
      <w:tr w:rsidR="002320E0" w:rsidRPr="00A0430A" w:rsidTr="00A0430A">
        <w:trPr>
          <w:trHeight w:val="300"/>
        </w:trPr>
        <w:tc>
          <w:tcPr>
            <w:tcW w:w="950" w:type="pct"/>
            <w:tcBorders>
              <w:top w:val="double" w:sz="4" w:space="0" w:color="auto"/>
              <w:bottom w:val="single" w:sz="4" w:space="0" w:color="auto"/>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p>
        </w:tc>
        <w:tc>
          <w:tcPr>
            <w:tcW w:w="4050" w:type="pct"/>
            <w:gridSpan w:val="9"/>
            <w:tcBorders>
              <w:top w:val="double" w:sz="4" w:space="0" w:color="auto"/>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Dépenses pour l'utilisation des principales sources d'énergie électrique</w:t>
            </w:r>
          </w:p>
        </w:tc>
      </w:tr>
      <w:tr w:rsidR="002320E0" w:rsidRPr="00A0430A" w:rsidTr="00A0430A">
        <w:trPr>
          <w:trHeight w:val="915"/>
        </w:trPr>
        <w:tc>
          <w:tcPr>
            <w:tcW w:w="950" w:type="pct"/>
            <w:tcBorders>
              <w:top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cs="Arial"/>
                <w:b/>
                <w:bCs/>
                <w:color w:val="000000"/>
                <w:lang w:eastAsia="fr-FR"/>
              </w:rPr>
              <w:t> </w:t>
            </w:r>
          </w:p>
        </w:tc>
        <w:tc>
          <w:tcPr>
            <w:tcW w:w="917"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de ligne directe de la SBEE</w:t>
            </w:r>
          </w:p>
        </w:tc>
        <w:tc>
          <w:tcPr>
            <w:tcW w:w="387" w:type="pct"/>
            <w:vMerge w:val="restart"/>
            <w:tcBorders>
              <w:top w:val="single" w:sz="4" w:space="0" w:color="auto"/>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connectés sur la ligne directe SBEE</w:t>
            </w:r>
          </w:p>
        </w:tc>
        <w:tc>
          <w:tcPr>
            <w:tcW w:w="938"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de ligne sous-traitée de la SBEE</w:t>
            </w:r>
          </w:p>
        </w:tc>
        <w:tc>
          <w:tcPr>
            <w:tcW w:w="392" w:type="pct"/>
            <w:vMerge w:val="restart"/>
            <w:tcBorders>
              <w:top w:val="single" w:sz="4" w:space="0" w:color="auto"/>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connectés à la ligne sous-traitée de la SBEE</w:t>
            </w:r>
          </w:p>
        </w:tc>
        <w:tc>
          <w:tcPr>
            <w:tcW w:w="971"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du groupe électrogène</w:t>
            </w:r>
          </w:p>
        </w:tc>
        <w:tc>
          <w:tcPr>
            <w:tcW w:w="445" w:type="pct"/>
            <w:vMerge w:val="restart"/>
            <w:tcBorders>
              <w:top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utilisa</w:t>
            </w:r>
            <w:r w:rsidR="00A0430A">
              <w:rPr>
                <w:rFonts w:ascii="Trebuchet MS" w:eastAsia="Times New Roman" w:hAnsi="Trebuchet MS"/>
                <w:color w:val="000000"/>
                <w:lang w:eastAsia="fr-FR"/>
              </w:rPr>
              <w:t xml:space="preserve">ntle </w:t>
            </w:r>
            <w:r w:rsidRPr="00A0430A">
              <w:rPr>
                <w:rFonts w:ascii="Trebuchet MS" w:eastAsia="Times New Roman" w:hAnsi="Trebuchet MS"/>
                <w:color w:val="000000"/>
                <w:lang w:eastAsia="fr-FR"/>
              </w:rPr>
              <w:t>groupe électrogène</w:t>
            </w:r>
          </w:p>
        </w:tc>
      </w:tr>
      <w:tr w:rsidR="00A0430A" w:rsidRPr="00A0430A" w:rsidTr="00A0430A">
        <w:trPr>
          <w:trHeight w:val="995"/>
        </w:trPr>
        <w:tc>
          <w:tcPr>
            <w:tcW w:w="950" w:type="pct"/>
            <w:tcBorders>
              <w:bottom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b/>
                <w:bCs/>
                <w:color w:val="000000"/>
                <w:lang w:eastAsia="fr-FR"/>
              </w:rPr>
              <w:t> </w:t>
            </w:r>
          </w:p>
        </w:tc>
        <w:tc>
          <w:tcPr>
            <w:tcW w:w="422" w:type="pct"/>
            <w:tcBorders>
              <w:top w:val="sing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495" w:type="pct"/>
            <w:tcBorders>
              <w:top w:val="sing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387"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463"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392"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521"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445"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300"/>
        </w:trPr>
        <w:tc>
          <w:tcPr>
            <w:tcW w:w="950" w:type="pct"/>
            <w:tcBorders>
              <w:top w:val="single" w:sz="4" w:space="0" w:color="auto"/>
              <w:bottom w:val="nil"/>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Sexe du CM</w:t>
            </w:r>
          </w:p>
        </w:tc>
        <w:tc>
          <w:tcPr>
            <w:tcW w:w="422"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95"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63"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92" w:type="pct"/>
            <w:tcBorders>
              <w:top w:val="single" w:sz="4" w:space="0" w:color="auto"/>
              <w:bottom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521"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5" w:type="pct"/>
            <w:tcBorders>
              <w:top w:val="single" w:sz="4" w:space="0" w:color="auto"/>
              <w:bottom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239"/>
        </w:trPr>
        <w:tc>
          <w:tcPr>
            <w:tcW w:w="950" w:type="pct"/>
            <w:tcBorders>
              <w:top w:val="nil"/>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Masculin</w:t>
            </w:r>
          </w:p>
        </w:tc>
        <w:tc>
          <w:tcPr>
            <w:tcW w:w="422"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11 341</w:t>
            </w:r>
          </w:p>
        </w:tc>
        <w:tc>
          <w:tcPr>
            <w:tcW w:w="495"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133 165</w:t>
            </w:r>
          </w:p>
        </w:tc>
        <w:tc>
          <w:tcPr>
            <w:tcW w:w="387" w:type="pct"/>
            <w:tcBorders>
              <w:top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688</w:t>
            </w:r>
          </w:p>
        </w:tc>
        <w:tc>
          <w:tcPr>
            <w:tcW w:w="474"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6 806</w:t>
            </w:r>
          </w:p>
        </w:tc>
        <w:tc>
          <w:tcPr>
            <w:tcW w:w="463"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77 522</w:t>
            </w:r>
          </w:p>
        </w:tc>
        <w:tc>
          <w:tcPr>
            <w:tcW w:w="392"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371</w:t>
            </w:r>
          </w:p>
        </w:tc>
        <w:tc>
          <w:tcPr>
            <w:tcW w:w="449"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5 386</w:t>
            </w:r>
          </w:p>
        </w:tc>
        <w:tc>
          <w:tcPr>
            <w:tcW w:w="521"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67 099</w:t>
            </w:r>
          </w:p>
        </w:tc>
        <w:tc>
          <w:tcPr>
            <w:tcW w:w="445"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396</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Féminin</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8 579</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120 996</w:t>
            </w:r>
          </w:p>
        </w:tc>
        <w:tc>
          <w:tcPr>
            <w:tcW w:w="387"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189</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3 232</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35 296</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96</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3 446</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39 396</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31</w:t>
            </w:r>
          </w:p>
        </w:tc>
      </w:tr>
      <w:tr w:rsidR="002320E0" w:rsidRPr="00A0430A" w:rsidTr="00A0430A">
        <w:trPr>
          <w:trHeight w:val="300"/>
        </w:trPr>
        <w:tc>
          <w:tcPr>
            <w:tcW w:w="950"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Niveau d'instruction du CM</w:t>
            </w:r>
          </w:p>
        </w:tc>
        <w:tc>
          <w:tcPr>
            <w:tcW w:w="422"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95"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87"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Maternelle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4 905</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71 166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5 778</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58 202</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17</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4 171</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49 158</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11</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Primaire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10 192</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107 147</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231</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6 875</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76 980</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141</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4 879</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60 332</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126</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Secondaire1</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10 361</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131 806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169</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6 465</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68 524</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80</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4 026</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49 342</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58</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Secondaire2</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12 404</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171 919</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135</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5 022</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60 277</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45</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3 353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33 489</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32</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Supérieur</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15 258</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183 726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158</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5 083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65 485</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33</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4 763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56 008</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28</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Aucun</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8 202</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102 537</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147</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5 703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67 164</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141</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6 383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82 103</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164</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Autre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4 365</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51 923</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1 893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22 679</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1 880</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27 860</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w:t>
            </w:r>
          </w:p>
        </w:tc>
      </w:tr>
      <w:tr w:rsidR="002320E0" w:rsidRPr="00A0430A" w:rsidTr="00A0430A">
        <w:trPr>
          <w:trHeight w:val="300"/>
        </w:trPr>
        <w:tc>
          <w:tcPr>
            <w:tcW w:w="950" w:type="pct"/>
            <w:tcBorders>
              <w:bottom w:val="single" w:sz="4" w:space="0" w:color="auto"/>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NSP</w:t>
            </w:r>
          </w:p>
        </w:tc>
        <w:tc>
          <w:tcPr>
            <w:tcW w:w="422"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14 831</w:t>
            </w:r>
          </w:p>
        </w:tc>
        <w:tc>
          <w:tcPr>
            <w:tcW w:w="495"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181 671</w:t>
            </w:r>
          </w:p>
        </w:tc>
        <w:tc>
          <w:tcPr>
            <w:tcW w:w="387"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w:t>
            </w:r>
          </w:p>
        </w:tc>
        <w:tc>
          <w:tcPr>
            <w:tcW w:w="474"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2 844</w:t>
            </w:r>
          </w:p>
        </w:tc>
        <w:tc>
          <w:tcPr>
            <w:tcW w:w="463"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25 465</w:t>
            </w:r>
          </w:p>
        </w:tc>
        <w:tc>
          <w:tcPr>
            <w:tcW w:w="392"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w:t>
            </w:r>
          </w:p>
        </w:tc>
        <w:tc>
          <w:tcPr>
            <w:tcW w:w="449"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6 733</w:t>
            </w:r>
          </w:p>
        </w:tc>
        <w:tc>
          <w:tcPr>
            <w:tcW w:w="521"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73 848</w:t>
            </w:r>
          </w:p>
        </w:tc>
        <w:tc>
          <w:tcPr>
            <w:tcW w:w="445"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w:t>
            </w:r>
          </w:p>
        </w:tc>
      </w:tr>
      <w:tr w:rsidR="002320E0" w:rsidRPr="00A0430A" w:rsidTr="00A0430A">
        <w:trPr>
          <w:trHeight w:val="300"/>
        </w:trPr>
        <w:tc>
          <w:tcPr>
            <w:tcW w:w="950" w:type="pct"/>
            <w:tcBorders>
              <w:top w:val="single" w:sz="4" w:space="0" w:color="auto"/>
              <w:bottom w:val="doub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Ensemble</w:t>
            </w:r>
          </w:p>
        </w:tc>
        <w:tc>
          <w:tcPr>
            <w:tcW w:w="422"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10 759</w:t>
            </w:r>
          </w:p>
        </w:tc>
        <w:tc>
          <w:tcPr>
            <w:tcW w:w="495"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130 628</w:t>
            </w:r>
          </w:p>
        </w:tc>
        <w:tc>
          <w:tcPr>
            <w:tcW w:w="387"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877</w:t>
            </w:r>
          </w:p>
        </w:tc>
        <w:tc>
          <w:tcPr>
            <w:tcW w:w="474"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5 990</w:t>
            </w:r>
          </w:p>
        </w:tc>
        <w:tc>
          <w:tcPr>
            <w:tcW w:w="463"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67 783</w:t>
            </w:r>
          </w:p>
        </w:tc>
        <w:tc>
          <w:tcPr>
            <w:tcW w:w="392"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467</w:t>
            </w:r>
          </w:p>
        </w:tc>
        <w:tc>
          <w:tcPr>
            <w:tcW w:w="449"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5 002</w:t>
            </w:r>
          </w:p>
        </w:tc>
        <w:tc>
          <w:tcPr>
            <w:tcW w:w="521"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61 600</w:t>
            </w:r>
          </w:p>
        </w:tc>
        <w:tc>
          <w:tcPr>
            <w:tcW w:w="445"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427</w:t>
            </w:r>
          </w:p>
        </w:tc>
      </w:tr>
      <w:tr w:rsidR="002320E0" w:rsidRPr="00A0430A" w:rsidTr="00A0430A">
        <w:trPr>
          <w:trHeight w:val="300"/>
        </w:trPr>
        <w:tc>
          <w:tcPr>
            <w:tcW w:w="5000" w:type="pct"/>
            <w:gridSpan w:val="10"/>
            <w:tcBorders>
              <w:top w:val="double" w:sz="4" w:space="0" w:color="auto"/>
              <w:bottom w:val="nil"/>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 w:rsidR="002D4183" w:rsidRPr="002D4183" w:rsidRDefault="002D4183" w:rsidP="002D4183">
      <w:pPr>
        <w:spacing w:after="0" w:line="240" w:lineRule="auto"/>
        <w:rPr>
          <w:b/>
        </w:rPr>
      </w:pPr>
      <w:bookmarkStart w:id="169" w:name="_Toc426359347"/>
      <w:r w:rsidRPr="002D4183">
        <w:rPr>
          <w:rFonts w:ascii="Trebuchet MS" w:eastAsia="Times New Roman" w:hAnsi="Trebuchet MS"/>
          <w:b/>
          <w:color w:val="000000"/>
          <w:sz w:val="20"/>
          <w:lang w:eastAsia="fr-FR"/>
        </w:rPr>
        <w:t xml:space="preserve">Tableau </w:t>
      </w:r>
      <w:r w:rsidR="00792500" w:rsidRPr="002D4183">
        <w:rPr>
          <w:rFonts w:ascii="Trebuchet MS" w:eastAsia="Times New Roman" w:hAnsi="Trebuchet MS"/>
          <w:b/>
          <w:color w:val="000000"/>
          <w:sz w:val="20"/>
          <w:lang w:eastAsia="fr-FR"/>
        </w:rPr>
        <w:fldChar w:fldCharType="begin"/>
      </w:r>
      <w:r w:rsidRPr="002D4183">
        <w:rPr>
          <w:rFonts w:ascii="Trebuchet MS" w:eastAsia="Times New Roman" w:hAnsi="Trebuchet MS"/>
          <w:b/>
          <w:color w:val="000000"/>
          <w:sz w:val="20"/>
          <w:lang w:eastAsia="fr-FR"/>
        </w:rPr>
        <w:instrText xml:space="preserve"> SEQ Tableau \* ARABIC </w:instrText>
      </w:r>
      <w:r w:rsidR="00792500" w:rsidRPr="002D4183">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28</w:t>
      </w:r>
      <w:r w:rsidR="00792500" w:rsidRPr="002D4183">
        <w:rPr>
          <w:rFonts w:ascii="Trebuchet MS" w:eastAsia="Times New Roman" w:hAnsi="Trebuchet MS"/>
          <w:b/>
          <w:color w:val="000000"/>
          <w:sz w:val="20"/>
          <w:lang w:eastAsia="fr-FR"/>
        </w:rPr>
        <w:fldChar w:fldCharType="end"/>
      </w:r>
      <w:r w:rsidRPr="002D4183">
        <w:rPr>
          <w:rFonts w:ascii="Trebuchet MS" w:eastAsia="Times New Roman" w:hAnsi="Trebuchet MS"/>
          <w:b/>
          <w:color w:val="000000"/>
          <w:sz w:val="20"/>
          <w:lang w:eastAsia="fr-FR"/>
        </w:rPr>
        <w:t>: Dépenses moyennes mensuelles et annuelles des ménages dans l’utilisation de ligne directe de la SBEE, de la ligne sous-traitée de la SBEE et du groupe électrogène suivant le milieu de résidence et le département</w:t>
      </w:r>
      <w:bookmarkEnd w:id="169"/>
    </w:p>
    <w:tbl>
      <w:tblPr>
        <w:tblW w:w="5143" w:type="pct"/>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055"/>
        <w:gridCol w:w="1419"/>
        <w:gridCol w:w="1273"/>
        <w:gridCol w:w="1279"/>
        <w:gridCol w:w="1276"/>
        <w:gridCol w:w="1419"/>
        <w:gridCol w:w="1413"/>
        <w:gridCol w:w="1142"/>
        <w:gridCol w:w="1550"/>
        <w:gridCol w:w="1137"/>
      </w:tblGrid>
      <w:tr w:rsidR="002320E0" w:rsidRPr="002D4183" w:rsidTr="00E14614">
        <w:trPr>
          <w:trHeight w:val="300"/>
        </w:trPr>
        <w:tc>
          <w:tcPr>
            <w:tcW w:w="736" w:type="pct"/>
            <w:tcBorders>
              <w:top w:val="double" w:sz="4" w:space="0" w:color="auto"/>
              <w:bottom w:val="sing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p>
        </w:tc>
        <w:tc>
          <w:tcPr>
            <w:tcW w:w="4264" w:type="pct"/>
            <w:gridSpan w:val="9"/>
            <w:tcBorders>
              <w:top w:val="double" w:sz="4" w:space="0" w:color="auto"/>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Dépenses pour l'utilisation des principales sources d'énergie électrique</w:t>
            </w:r>
          </w:p>
        </w:tc>
      </w:tr>
      <w:tr w:rsidR="002320E0" w:rsidRPr="002D4183" w:rsidTr="00E14614">
        <w:trPr>
          <w:trHeight w:val="1094"/>
        </w:trPr>
        <w:tc>
          <w:tcPr>
            <w:tcW w:w="736" w:type="pct"/>
            <w:tcBorders>
              <w:top w:val="single" w:sz="4" w:space="0" w:color="auto"/>
            </w:tcBorders>
            <w:shd w:val="clear" w:color="auto" w:fill="auto"/>
            <w:hideMark/>
          </w:tcPr>
          <w:p w:rsidR="002320E0" w:rsidRPr="002D4183" w:rsidRDefault="002320E0" w:rsidP="00605DE4">
            <w:pPr>
              <w:spacing w:after="0" w:line="240" w:lineRule="auto"/>
              <w:rPr>
                <w:rFonts w:ascii="Trebuchet MS" w:eastAsia="Times New Roman" w:hAnsi="Trebuchet MS"/>
                <w:b/>
                <w:bCs/>
                <w:color w:val="000000"/>
                <w:lang w:eastAsia="fr-FR"/>
              </w:rPr>
            </w:pPr>
            <w:r w:rsidRPr="002D4183">
              <w:rPr>
                <w:rFonts w:ascii="Trebuchet MS" w:eastAsia="Times New Roman" w:hAnsi="Trebuchet MS" w:cs="Arial"/>
                <w:b/>
                <w:bCs/>
                <w:color w:val="000000"/>
                <w:lang w:eastAsia="fr-FR"/>
              </w:rPr>
              <w:t> </w:t>
            </w:r>
          </w:p>
        </w:tc>
        <w:tc>
          <w:tcPr>
            <w:tcW w:w="964"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de ligne directe de la SBEE</w:t>
            </w:r>
          </w:p>
        </w:tc>
        <w:tc>
          <w:tcPr>
            <w:tcW w:w="458" w:type="pct"/>
            <w:vMerge w:val="restart"/>
            <w:tcBorders>
              <w:top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connectés sur la ligne directe SBEE</w:t>
            </w:r>
          </w:p>
        </w:tc>
        <w:tc>
          <w:tcPr>
            <w:tcW w:w="965"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de ligne sous-traitée de la SBEE</w:t>
            </w:r>
          </w:p>
        </w:tc>
        <w:tc>
          <w:tcPr>
            <w:tcW w:w="506" w:type="pct"/>
            <w:vMerge w:val="restart"/>
            <w:tcBorders>
              <w:top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connectés à la ligne sous-traitée de la SBEE</w:t>
            </w:r>
          </w:p>
        </w:tc>
        <w:tc>
          <w:tcPr>
            <w:tcW w:w="964"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du groupe électrogène</w:t>
            </w:r>
          </w:p>
        </w:tc>
        <w:tc>
          <w:tcPr>
            <w:tcW w:w="407" w:type="pct"/>
            <w:vMerge w:val="restart"/>
            <w:tcBorders>
              <w:top w:val="single" w:sz="4" w:space="0" w:color="auto"/>
            </w:tcBorders>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utilisation du groupe électrogène</w:t>
            </w:r>
          </w:p>
        </w:tc>
      </w:tr>
      <w:tr w:rsidR="002320E0" w:rsidRPr="002D4183" w:rsidTr="00E14614">
        <w:trPr>
          <w:trHeight w:val="545"/>
        </w:trPr>
        <w:tc>
          <w:tcPr>
            <w:tcW w:w="736" w:type="pct"/>
            <w:tcBorders>
              <w:bottom w:val="single" w:sz="4" w:space="0" w:color="auto"/>
            </w:tcBorders>
            <w:shd w:val="clear" w:color="auto" w:fill="auto"/>
            <w:hideMark/>
          </w:tcPr>
          <w:p w:rsidR="002320E0" w:rsidRPr="002D4183" w:rsidRDefault="002320E0" w:rsidP="00605DE4">
            <w:pPr>
              <w:spacing w:after="0" w:line="240" w:lineRule="auto"/>
              <w:rPr>
                <w:rFonts w:ascii="Trebuchet MS" w:eastAsia="Times New Roman" w:hAnsi="Trebuchet MS"/>
                <w:b/>
                <w:bCs/>
                <w:color w:val="000000"/>
                <w:lang w:eastAsia="fr-FR"/>
              </w:rPr>
            </w:pPr>
            <w:r w:rsidRPr="002D4183">
              <w:rPr>
                <w:rFonts w:ascii="Trebuchet MS" w:eastAsia="Times New Roman" w:hAnsi="Trebuchet MS"/>
                <w:b/>
                <w:bCs/>
                <w:color w:val="000000"/>
                <w:lang w:eastAsia="fr-FR"/>
              </w:rPr>
              <w:t> </w:t>
            </w:r>
          </w:p>
        </w:tc>
        <w:tc>
          <w:tcPr>
            <w:tcW w:w="508" w:type="pct"/>
            <w:tcBorders>
              <w:top w:val="single" w:sz="4" w:space="0" w:color="auto"/>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456" w:type="pct"/>
            <w:tcBorders>
              <w:top w:val="single" w:sz="4" w:space="0" w:color="auto"/>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w:t>
            </w:r>
          </w:p>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(en FCFA)</w:t>
            </w:r>
          </w:p>
        </w:tc>
        <w:tc>
          <w:tcPr>
            <w:tcW w:w="458"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508"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 (en FCFA)</w:t>
            </w:r>
          </w:p>
        </w:tc>
        <w:tc>
          <w:tcPr>
            <w:tcW w:w="506"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555"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 (en FCFA)</w:t>
            </w:r>
          </w:p>
        </w:tc>
        <w:tc>
          <w:tcPr>
            <w:tcW w:w="407"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0"/>
        </w:trPr>
        <w:tc>
          <w:tcPr>
            <w:tcW w:w="736" w:type="pct"/>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Milieu de résidence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Urbain</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11 278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142 470</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606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6 369</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72 741</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264</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4 315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53 435</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Rural</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9 829</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109 768</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271</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5 799</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65 301</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203</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5 474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67 167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289</w:t>
            </w:r>
          </w:p>
        </w:tc>
      </w:tr>
      <w:tr w:rsidR="002320E0" w:rsidRPr="002D4183" w:rsidTr="00E14614">
        <w:trPr>
          <w:trHeight w:val="300"/>
        </w:trPr>
        <w:tc>
          <w:tcPr>
            <w:tcW w:w="736" w:type="pct"/>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Département de résidence</w:t>
            </w:r>
          </w:p>
        </w:tc>
        <w:tc>
          <w:tcPr>
            <w:tcW w:w="508"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8"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3"/>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ALIBORI</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12 006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152 191</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40</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7 028</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81 407</w:t>
            </w:r>
          </w:p>
        </w:tc>
        <w:tc>
          <w:tcPr>
            <w:tcW w:w="50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18 705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218 051</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40</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ATACORA</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5 996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69 167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63</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17 847</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187 209</w:t>
            </w:r>
          </w:p>
        </w:tc>
        <w:tc>
          <w:tcPr>
            <w:tcW w:w="50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1 714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27 752</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ATLANTIQUE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10 082</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116 263</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85</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4 995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49 828</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91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4 396</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50 557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43</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BORGOU</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13 348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182 250</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12 691</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162 362</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15 767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187 474</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41</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COLLINES</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5 892</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62 928</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53</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4 614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55 154</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56</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4 207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45 140</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COUFFO</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5 306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72 994</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6 595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70 433</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4 785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58 028</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DONGA</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15 693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153 827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79</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11 394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136 726</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32</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4 047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133 817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25</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LITTORAL</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14 148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189 865</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176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3 653</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37 104</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5 393</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65 389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16</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MONO</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5 164</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59 735</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4 155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51 152</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3 136</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36 739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22</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OUEME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15 913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205 703</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165</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6 311</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76 628</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38</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3 888</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47 681</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73</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PLATEAU</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8 853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106 397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19</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10 804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106 706</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28</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10 324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111 929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34</w:t>
            </w:r>
          </w:p>
        </w:tc>
      </w:tr>
      <w:tr w:rsidR="002320E0" w:rsidRPr="002D4183" w:rsidTr="00E14614">
        <w:trPr>
          <w:trHeight w:val="300"/>
        </w:trPr>
        <w:tc>
          <w:tcPr>
            <w:tcW w:w="736" w:type="pct"/>
            <w:tcBorders>
              <w:bottom w:val="sing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ZOU</w:t>
            </w:r>
          </w:p>
        </w:tc>
        <w:tc>
          <w:tcPr>
            <w:tcW w:w="50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7 360</w:t>
            </w:r>
          </w:p>
        </w:tc>
        <w:tc>
          <w:tcPr>
            <w:tcW w:w="456"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87 820</w:t>
            </w:r>
          </w:p>
        </w:tc>
        <w:tc>
          <w:tcPr>
            <w:tcW w:w="45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109</w:t>
            </w:r>
          </w:p>
        </w:tc>
        <w:tc>
          <w:tcPr>
            <w:tcW w:w="457"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2 800</w:t>
            </w:r>
          </w:p>
        </w:tc>
        <w:tc>
          <w:tcPr>
            <w:tcW w:w="50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35 914</w:t>
            </w:r>
          </w:p>
        </w:tc>
        <w:tc>
          <w:tcPr>
            <w:tcW w:w="506"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61</w:t>
            </w:r>
          </w:p>
        </w:tc>
        <w:tc>
          <w:tcPr>
            <w:tcW w:w="409"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2 854</w:t>
            </w:r>
          </w:p>
        </w:tc>
        <w:tc>
          <w:tcPr>
            <w:tcW w:w="555"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36 762</w:t>
            </w:r>
          </w:p>
        </w:tc>
        <w:tc>
          <w:tcPr>
            <w:tcW w:w="407"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13</w:t>
            </w:r>
          </w:p>
        </w:tc>
      </w:tr>
      <w:tr w:rsidR="002320E0" w:rsidRPr="002D4183" w:rsidTr="00E14614">
        <w:trPr>
          <w:trHeight w:val="300"/>
        </w:trPr>
        <w:tc>
          <w:tcPr>
            <w:tcW w:w="736" w:type="pct"/>
            <w:tcBorders>
              <w:top w:val="single" w:sz="4" w:space="0" w:color="auto"/>
              <w:bottom w:val="double" w:sz="4" w:space="0" w:color="auto"/>
            </w:tcBorders>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Ensemble</w:t>
            </w:r>
          </w:p>
        </w:tc>
        <w:tc>
          <w:tcPr>
            <w:tcW w:w="50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10 759</w:t>
            </w:r>
          </w:p>
        </w:tc>
        <w:tc>
          <w:tcPr>
            <w:tcW w:w="456"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130 628</w:t>
            </w:r>
          </w:p>
        </w:tc>
        <w:tc>
          <w:tcPr>
            <w:tcW w:w="45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877</w:t>
            </w:r>
          </w:p>
        </w:tc>
        <w:tc>
          <w:tcPr>
            <w:tcW w:w="457"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5 990</w:t>
            </w:r>
          </w:p>
        </w:tc>
        <w:tc>
          <w:tcPr>
            <w:tcW w:w="50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67 783</w:t>
            </w:r>
          </w:p>
        </w:tc>
        <w:tc>
          <w:tcPr>
            <w:tcW w:w="506"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467</w:t>
            </w:r>
          </w:p>
        </w:tc>
        <w:tc>
          <w:tcPr>
            <w:tcW w:w="409"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5 002</w:t>
            </w:r>
          </w:p>
        </w:tc>
        <w:tc>
          <w:tcPr>
            <w:tcW w:w="555"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61 600</w:t>
            </w:r>
          </w:p>
        </w:tc>
        <w:tc>
          <w:tcPr>
            <w:tcW w:w="407"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427</w:t>
            </w:r>
          </w:p>
        </w:tc>
      </w:tr>
      <w:tr w:rsidR="002320E0" w:rsidRPr="002D4183" w:rsidTr="00E14614">
        <w:trPr>
          <w:trHeight w:val="300"/>
        </w:trPr>
        <w:tc>
          <w:tcPr>
            <w:tcW w:w="5000" w:type="pct"/>
            <w:gridSpan w:val="10"/>
            <w:tcBorders>
              <w:top w:val="double" w:sz="4" w:space="0" w:color="auto"/>
              <w:bottom w:val="nil"/>
            </w:tcBorders>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hAnsi="Trebuchet MS" w:cs="Arial"/>
                <w:b/>
                <w:bCs/>
                <w:color w:val="000000"/>
              </w:rPr>
              <w:t>Source : ECEB, INSAE, 2015</w:t>
            </w:r>
          </w:p>
        </w:tc>
      </w:tr>
    </w:tbl>
    <w:p w:rsidR="002320E0" w:rsidRDefault="002320E0" w:rsidP="002320E0">
      <w:pPr>
        <w:rPr>
          <w:lang w:val="en-US" w:eastAsia="fr-FR"/>
        </w:rPr>
        <w:sectPr w:rsidR="002320E0" w:rsidSect="00605DE4">
          <w:pgSz w:w="16838" w:h="11906" w:orient="landscape"/>
          <w:pgMar w:top="1418" w:right="1843" w:bottom="1418" w:left="1560" w:header="709" w:footer="0" w:gutter="0"/>
          <w:cols w:space="708"/>
          <w:docGrid w:linePitch="360"/>
        </w:sectPr>
      </w:pPr>
    </w:p>
    <w:p w:rsidR="002320E0" w:rsidRPr="00D266A1" w:rsidRDefault="002320E0" w:rsidP="00E14614">
      <w:pPr>
        <w:pStyle w:val="Titre3"/>
        <w:numPr>
          <w:ilvl w:val="0"/>
          <w:numId w:val="0"/>
        </w:numPr>
        <w:ind w:left="720" w:hanging="720"/>
      </w:pPr>
      <w:bookmarkStart w:id="170" w:name="_Toc426359399"/>
      <w:bookmarkStart w:id="171" w:name="_Toc426359456"/>
      <w:r w:rsidRPr="00D266A1">
        <w:t>2.4.Disponibilité de l’énergie électrique et couverture des besoins</w:t>
      </w:r>
      <w:bookmarkEnd w:id="170"/>
      <w:bookmarkEnd w:id="171"/>
    </w:p>
    <w:p w:rsidR="002320E0" w:rsidRDefault="004A1D60" w:rsidP="00E14614">
      <w:pPr>
        <w:pStyle w:val="Titre4"/>
      </w:pPr>
      <w:bookmarkStart w:id="172" w:name="_Toc426359457"/>
      <w:r>
        <w:t xml:space="preserve">2.4.1. </w:t>
      </w:r>
      <w:r w:rsidR="002320E0">
        <w:t>P</w:t>
      </w:r>
      <w:r w:rsidR="002320E0" w:rsidRPr="00D266A1">
        <w:t>référence</w:t>
      </w:r>
      <w:r w:rsidR="00E14614">
        <w:t xml:space="preserve">s des ménages sur la durée </w:t>
      </w:r>
      <w:r>
        <w:t xml:space="preserve">et la période </w:t>
      </w:r>
      <w:r w:rsidR="002320E0">
        <w:t xml:space="preserve">de disponibilité de l’électricité dans la </w:t>
      </w:r>
      <w:r w:rsidR="002320E0" w:rsidRPr="00D266A1">
        <w:t>journée</w:t>
      </w:r>
      <w:bookmarkEnd w:id="172"/>
    </w:p>
    <w:p w:rsidR="002320E0" w:rsidRPr="00C16D89" w:rsidRDefault="002320E0" w:rsidP="00E14614">
      <w:pPr>
        <w:jc w:val="both"/>
        <w:rPr>
          <w:rFonts w:ascii="Trebuchet MS" w:hAnsi="Trebuchet MS"/>
        </w:rPr>
      </w:pPr>
      <w:r>
        <w:rPr>
          <w:rFonts w:ascii="Trebuchet MS" w:hAnsi="Trebuchet MS"/>
        </w:rPr>
        <w:t xml:space="preserve">A la lumière des résultats du </w:t>
      </w:r>
      <w:r w:rsidRPr="00C16D89">
        <w:rPr>
          <w:rFonts w:ascii="Trebuchet MS" w:hAnsi="Trebuchet MS"/>
        </w:rPr>
        <w:t>tableau</w:t>
      </w:r>
      <w:r>
        <w:rPr>
          <w:rFonts w:ascii="Trebuchet MS" w:hAnsi="Trebuchet MS"/>
        </w:rPr>
        <w:t xml:space="preserve"> ci-après, il ressort que </w:t>
      </w:r>
      <w:r w:rsidRPr="00C16D89">
        <w:rPr>
          <w:rFonts w:ascii="Trebuchet MS" w:hAnsi="Trebuchet MS"/>
        </w:rPr>
        <w:t xml:space="preserve">les ménages en générale préfèrent avoir de l’électricité la nuit que les autres périodes de la journée. </w:t>
      </w:r>
      <w:r>
        <w:rPr>
          <w:rFonts w:ascii="Trebuchet MS" w:hAnsi="Trebuchet MS"/>
        </w:rPr>
        <w:t xml:space="preserve">En effet comme le montre le tableau, </w:t>
      </w:r>
      <w:r w:rsidRPr="00C16D89">
        <w:rPr>
          <w:rFonts w:ascii="Trebuchet MS" w:hAnsi="Trebuchet MS"/>
        </w:rPr>
        <w:t xml:space="preserve">88,5% des ménages préfèrent l’électricité la nuit que dans les autres périodes de la journée. </w:t>
      </w:r>
      <w:r>
        <w:rPr>
          <w:rFonts w:ascii="Trebuchet MS" w:hAnsi="Trebuchet MS"/>
        </w:rPr>
        <w:t>Cette situation est générale quel que soit le milieu de résidence ou le département.</w:t>
      </w:r>
    </w:p>
    <w:p w:rsidR="002320E0" w:rsidRPr="00C16D89" w:rsidRDefault="002320E0" w:rsidP="00E14614">
      <w:pPr>
        <w:jc w:val="both"/>
        <w:rPr>
          <w:rFonts w:ascii="Trebuchet MS" w:hAnsi="Trebuchet MS"/>
        </w:rPr>
      </w:pPr>
      <w:r w:rsidRPr="00C16D89">
        <w:rPr>
          <w:rFonts w:ascii="Trebuchet MS" w:eastAsia="Times New Roman" w:hAnsi="Trebuchet MS"/>
          <w:lang w:eastAsia="fr-FR"/>
        </w:rPr>
        <w:t>Dans l’ensemble</w:t>
      </w:r>
      <w:r>
        <w:rPr>
          <w:rFonts w:ascii="Trebuchet MS" w:eastAsia="Times New Roman" w:hAnsi="Trebuchet MS"/>
          <w:lang w:eastAsia="fr-FR"/>
        </w:rPr>
        <w:t>,</w:t>
      </w:r>
      <w:r w:rsidRPr="00C16D89">
        <w:rPr>
          <w:rFonts w:ascii="Trebuchet MS" w:eastAsia="Times New Roman" w:hAnsi="Trebuchet MS"/>
          <w:lang w:eastAsia="fr-FR"/>
        </w:rPr>
        <w:t xml:space="preserve"> le nombre moyen d’heures par jour que le ménage devait recevoir l’électricité pour couvrir ses besoins journaliers est </w:t>
      </w:r>
      <w:r>
        <w:rPr>
          <w:rFonts w:ascii="Trebuchet MS" w:eastAsia="Times New Roman" w:hAnsi="Trebuchet MS"/>
          <w:lang w:eastAsia="fr-FR"/>
        </w:rPr>
        <w:t xml:space="preserve">estimé à </w:t>
      </w:r>
      <w:r w:rsidRPr="00C16D89">
        <w:rPr>
          <w:rFonts w:ascii="Trebuchet MS" w:eastAsia="Times New Roman" w:hAnsi="Trebuchet MS"/>
          <w:lang w:eastAsia="fr-FR"/>
        </w:rPr>
        <w:t xml:space="preserve">19,1 heures. Le nombre moyen d’heures par jour que le ménage devait recevoir l’électricité pour couvrir ses besoins journaliers est </w:t>
      </w:r>
      <w:r>
        <w:rPr>
          <w:rFonts w:ascii="Trebuchet MS" w:eastAsia="Times New Roman" w:hAnsi="Trebuchet MS"/>
          <w:lang w:eastAsia="fr-FR"/>
        </w:rPr>
        <w:t>supérieur à 17 heures quel que soit le milieu de résidence ou le département</w:t>
      </w:r>
      <w:r w:rsidRPr="00C16D89">
        <w:rPr>
          <w:rFonts w:ascii="Trebuchet MS" w:eastAsia="Times New Roman" w:hAnsi="Trebuchet MS"/>
          <w:lang w:eastAsia="fr-FR"/>
        </w:rPr>
        <w:t xml:space="preserve">. </w:t>
      </w:r>
    </w:p>
    <w:p w:rsidR="002320E0" w:rsidRDefault="002320E0" w:rsidP="002320E0">
      <w:pPr>
        <w:spacing w:after="0"/>
        <w:rPr>
          <w:rFonts w:ascii="Trebuchet MS" w:hAnsi="Trebuchet MS"/>
        </w:rPr>
      </w:pPr>
    </w:p>
    <w:p w:rsidR="00AC1AF7" w:rsidRPr="000516D2" w:rsidRDefault="00AC1AF7" w:rsidP="000516D2">
      <w:pPr>
        <w:spacing w:after="0"/>
        <w:jc w:val="both"/>
        <w:rPr>
          <w:rFonts w:ascii="Trebuchet MS" w:hAnsi="Trebuchet MS"/>
          <w:b/>
        </w:rPr>
      </w:pPr>
      <w:bookmarkStart w:id="173" w:name="_Toc426359348"/>
      <w:r w:rsidRPr="000516D2">
        <w:rPr>
          <w:rFonts w:ascii="Trebuchet MS" w:eastAsia="Times New Roman" w:hAnsi="Trebuchet MS"/>
          <w:b/>
          <w:color w:val="000000"/>
          <w:sz w:val="20"/>
          <w:lang w:eastAsia="fr-FR"/>
        </w:rPr>
        <w:t xml:space="preserve">Tableau </w:t>
      </w:r>
      <w:r w:rsidR="00792500" w:rsidRPr="000516D2">
        <w:rPr>
          <w:rFonts w:ascii="Trebuchet MS" w:eastAsia="Times New Roman" w:hAnsi="Trebuchet MS"/>
          <w:b/>
          <w:color w:val="000000"/>
          <w:sz w:val="20"/>
          <w:lang w:eastAsia="fr-FR"/>
        </w:rPr>
        <w:fldChar w:fldCharType="begin"/>
      </w:r>
      <w:r w:rsidRPr="000516D2">
        <w:rPr>
          <w:rFonts w:ascii="Trebuchet MS" w:eastAsia="Times New Roman" w:hAnsi="Trebuchet MS"/>
          <w:b/>
          <w:color w:val="000000"/>
          <w:sz w:val="20"/>
          <w:lang w:eastAsia="fr-FR"/>
        </w:rPr>
        <w:instrText xml:space="preserve"> SEQ Tableau \* ARABIC </w:instrText>
      </w:r>
      <w:r w:rsidR="00792500" w:rsidRPr="000516D2">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29</w:t>
      </w:r>
      <w:r w:rsidR="00792500" w:rsidRPr="000516D2">
        <w:rPr>
          <w:rFonts w:ascii="Trebuchet MS" w:eastAsia="Times New Roman" w:hAnsi="Trebuchet MS"/>
          <w:b/>
          <w:color w:val="000000"/>
          <w:sz w:val="20"/>
          <w:lang w:eastAsia="fr-FR"/>
        </w:rPr>
        <w:fldChar w:fldCharType="end"/>
      </w:r>
      <w:r w:rsidRPr="000516D2">
        <w:rPr>
          <w:rFonts w:ascii="Trebuchet MS" w:eastAsia="Times New Roman" w:hAnsi="Trebuchet MS"/>
          <w:b/>
          <w:color w:val="000000"/>
          <w:sz w:val="20"/>
          <w:lang w:eastAsia="fr-FR"/>
        </w:rPr>
        <w:t>: Nombre moyen d’heures par jour que le ménage devait recevoir l’électricité pour couvrir ses besoins journaliers, Pourcentage de ménages selon leur préférence pour la période de la journée à laquelle il souhaiterait avoir l’électricité, suivant le sexe du chef de ménage, le milieu de résidence et le département</w:t>
      </w:r>
      <w:bookmarkEnd w:id="173"/>
    </w:p>
    <w:tbl>
      <w:tblPr>
        <w:tblW w:w="5078" w:type="pct"/>
        <w:tblInd w:w="71"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834"/>
        <w:gridCol w:w="2128"/>
        <w:gridCol w:w="992"/>
        <w:gridCol w:w="917"/>
        <w:gridCol w:w="1160"/>
        <w:gridCol w:w="1325"/>
      </w:tblGrid>
      <w:tr w:rsidR="002320E0" w:rsidRPr="000516D2" w:rsidTr="000516D2">
        <w:trPr>
          <w:trHeight w:val="918"/>
        </w:trPr>
        <w:tc>
          <w:tcPr>
            <w:tcW w:w="1515" w:type="pct"/>
            <w:shd w:val="clear" w:color="auto" w:fill="auto"/>
            <w:hideMark/>
          </w:tcPr>
          <w:p w:rsidR="002320E0" w:rsidRPr="000516D2" w:rsidRDefault="002320E0" w:rsidP="00605DE4">
            <w:pPr>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1137" w:type="pct"/>
            <w:vMerge w:val="restart"/>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devait recevoir l’électricité pour couvrir ses besoins journaliers</w:t>
            </w:r>
          </w:p>
        </w:tc>
        <w:tc>
          <w:tcPr>
            <w:tcW w:w="1640" w:type="pct"/>
            <w:gridSpan w:val="3"/>
            <w:tcBorders>
              <w:top w:val="doub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 xml:space="preserve">Pourcentage de ménages selon leur préférence pour la période de la journée à </w:t>
            </w:r>
            <w:r w:rsidR="000516D2" w:rsidRPr="000516D2">
              <w:rPr>
                <w:rFonts w:ascii="Trebuchet MS" w:eastAsia="Times New Roman" w:hAnsi="Trebuchet MS"/>
                <w:color w:val="000000"/>
                <w:sz w:val="20"/>
                <w:szCs w:val="20"/>
                <w:lang w:eastAsia="fr-FR"/>
              </w:rPr>
              <w:t>laquelle</w:t>
            </w:r>
            <w:r w:rsidRPr="000516D2">
              <w:rPr>
                <w:rFonts w:ascii="Trebuchet MS" w:eastAsia="Times New Roman" w:hAnsi="Trebuchet MS"/>
                <w:color w:val="000000"/>
                <w:sz w:val="20"/>
                <w:szCs w:val="20"/>
                <w:lang w:eastAsia="fr-FR"/>
              </w:rPr>
              <w:t xml:space="preserve"> il souhaiterait avoir l’électricité</w:t>
            </w:r>
          </w:p>
        </w:tc>
        <w:tc>
          <w:tcPr>
            <w:tcW w:w="708" w:type="pct"/>
            <w:vMerge w:val="restart"/>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Effectif des ménages utilisant l'électricité de la SBEE</w:t>
            </w:r>
          </w:p>
        </w:tc>
      </w:tr>
      <w:tr w:rsidR="002320E0" w:rsidRPr="000516D2" w:rsidTr="000516D2">
        <w:trPr>
          <w:trHeight w:val="447"/>
        </w:trPr>
        <w:tc>
          <w:tcPr>
            <w:tcW w:w="1515" w:type="pct"/>
            <w:tcBorders>
              <w:bottom w:val="single" w:sz="4" w:space="0" w:color="auto"/>
            </w:tcBorders>
            <w:shd w:val="clear" w:color="auto" w:fill="auto"/>
            <w:hideMark/>
          </w:tcPr>
          <w:p w:rsidR="002320E0" w:rsidRPr="000516D2" w:rsidRDefault="002320E0" w:rsidP="00605DE4">
            <w:pPr>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1137" w:type="pct"/>
            <w:vMerge/>
            <w:tcBorders>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p>
        </w:tc>
        <w:tc>
          <w:tcPr>
            <w:tcW w:w="53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 matinée</w:t>
            </w:r>
          </w:p>
        </w:tc>
        <w:tc>
          <w:tcPr>
            <w:tcW w:w="49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L'après-midi</w:t>
            </w:r>
          </w:p>
        </w:tc>
        <w:tc>
          <w:tcPr>
            <w:tcW w:w="62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 nuit</w:t>
            </w:r>
          </w:p>
        </w:tc>
        <w:tc>
          <w:tcPr>
            <w:tcW w:w="708" w:type="pct"/>
            <w:vMerge/>
            <w:tcBorders>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p>
        </w:tc>
      </w:tr>
      <w:tr w:rsidR="002320E0" w:rsidRPr="000516D2" w:rsidTr="000516D2">
        <w:trPr>
          <w:trHeight w:val="300"/>
        </w:trPr>
        <w:tc>
          <w:tcPr>
            <w:tcW w:w="1515" w:type="pct"/>
            <w:tcBorders>
              <w:top w:val="single" w:sz="4" w:space="0" w:color="auto"/>
              <w:bottom w:val="nil"/>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Sexe du CM</w:t>
            </w:r>
          </w:p>
        </w:tc>
        <w:tc>
          <w:tcPr>
            <w:tcW w:w="1137"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tcBorders>
              <w:top w:val="single" w:sz="4" w:space="0" w:color="auto"/>
              <w:bottom w:val="nil"/>
            </w:tcBorders>
            <w:shd w:val="clear" w:color="auto" w:fill="auto"/>
            <w:noWrap/>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tcBorders>
              <w:top w:val="nil"/>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Masculin</w:t>
            </w:r>
          </w:p>
        </w:tc>
        <w:tc>
          <w:tcPr>
            <w:tcW w:w="1137"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19,3</w:t>
            </w:r>
          </w:p>
        </w:tc>
        <w:tc>
          <w:tcPr>
            <w:tcW w:w="53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5,2</w:t>
            </w:r>
          </w:p>
        </w:tc>
        <w:tc>
          <w:tcPr>
            <w:tcW w:w="49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88,2</w:t>
            </w:r>
          </w:p>
        </w:tc>
        <w:tc>
          <w:tcPr>
            <w:tcW w:w="708"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1045</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Féminin</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5,7</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89,5</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Milieu de résidence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Urbain</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5,6</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85,1</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Rural</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18,6</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465</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Département de résidence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ALIBORI</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2,9</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92,7</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ATACORA</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23,2</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95,6</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87</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ATLANTIQUE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7,6</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176</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BORGOU</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14,9</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83,3</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36</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COLLINES</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3,7</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94,3</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108</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COUFFO</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19,9</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3,3</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95,1</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DONGA</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3,2</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92,5</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LITTORAL</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14,8</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78,8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223</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MONO</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89,7</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OUEME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20,5</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79,9</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PLATEAU</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23,6</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13,9</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76,9</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46</w:t>
            </w:r>
          </w:p>
        </w:tc>
      </w:tr>
      <w:tr w:rsidR="002320E0" w:rsidRPr="000516D2" w:rsidTr="000516D2">
        <w:trPr>
          <w:trHeight w:val="300"/>
        </w:trPr>
        <w:tc>
          <w:tcPr>
            <w:tcW w:w="1515" w:type="pct"/>
            <w:tcBorders>
              <w:bottom w:val="single" w:sz="4" w:space="0" w:color="auto"/>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ZOU</w:t>
            </w:r>
          </w:p>
        </w:tc>
        <w:tc>
          <w:tcPr>
            <w:tcW w:w="1137"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17,1</w:t>
            </w:r>
          </w:p>
        </w:tc>
        <w:tc>
          <w:tcPr>
            <w:tcW w:w="53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2,7</w:t>
            </w:r>
          </w:p>
        </w:tc>
        <w:tc>
          <w:tcPr>
            <w:tcW w:w="49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4,5</w:t>
            </w:r>
          </w:p>
        </w:tc>
        <w:tc>
          <w:tcPr>
            <w:tcW w:w="62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92,8</w:t>
            </w:r>
          </w:p>
        </w:tc>
        <w:tc>
          <w:tcPr>
            <w:tcW w:w="708"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169</w:t>
            </w:r>
          </w:p>
        </w:tc>
      </w:tr>
      <w:tr w:rsidR="002320E0" w:rsidRPr="000516D2" w:rsidTr="000516D2">
        <w:trPr>
          <w:trHeight w:val="300"/>
        </w:trPr>
        <w:tc>
          <w:tcPr>
            <w:tcW w:w="1515" w:type="pct"/>
            <w:tcBorders>
              <w:top w:val="single" w:sz="4" w:space="0" w:color="auto"/>
              <w:bottom w:val="double" w:sz="4" w:space="0" w:color="auto"/>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Ensemble</w:t>
            </w:r>
          </w:p>
        </w:tc>
        <w:tc>
          <w:tcPr>
            <w:tcW w:w="1137"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19,1</w:t>
            </w:r>
          </w:p>
        </w:tc>
        <w:tc>
          <w:tcPr>
            <w:tcW w:w="53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c>
          <w:tcPr>
            <w:tcW w:w="49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6,4</w:t>
            </w:r>
          </w:p>
        </w:tc>
        <w:tc>
          <w:tcPr>
            <w:tcW w:w="62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88,5</w:t>
            </w:r>
          </w:p>
        </w:tc>
        <w:tc>
          <w:tcPr>
            <w:tcW w:w="708"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1325</w:t>
            </w:r>
          </w:p>
        </w:tc>
      </w:tr>
      <w:tr w:rsidR="002320E0" w:rsidRPr="000516D2" w:rsidTr="000516D2">
        <w:tblPrEx>
          <w:tblBorders>
            <w:bottom w:val="none" w:sz="0" w:space="0" w:color="auto"/>
          </w:tblBorders>
        </w:tblPrEx>
        <w:trPr>
          <w:trHeight w:val="369"/>
        </w:trPr>
        <w:tc>
          <w:tcPr>
            <w:tcW w:w="5000" w:type="pct"/>
            <w:gridSpan w:val="6"/>
            <w:tcBorders>
              <w:top w:val="double" w:sz="4" w:space="0" w:color="auto"/>
            </w:tcBorders>
            <w:shd w:val="clear" w:color="auto" w:fill="auto"/>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hAnsi="Trebuchet MS" w:cs="Arial"/>
                <w:bCs/>
                <w:color w:val="000000"/>
              </w:rPr>
              <w:t>Source : ECEB, INSAE, 2015</w:t>
            </w:r>
          </w:p>
        </w:tc>
      </w:tr>
    </w:tbl>
    <w:p w:rsidR="002320E0" w:rsidRPr="000516D2" w:rsidRDefault="000516D2" w:rsidP="000516D2">
      <w:pPr>
        <w:jc w:val="both"/>
        <w:rPr>
          <w:rFonts w:ascii="Trebuchet MS" w:eastAsiaTheme="majorEastAsia" w:hAnsi="Trebuchet MS" w:cstheme="majorBidi"/>
          <w:b/>
          <w:bCs/>
          <w:iCs/>
          <w:sz w:val="24"/>
        </w:rPr>
      </w:pPr>
      <w:r>
        <w:rPr>
          <w:rFonts w:ascii="Trebuchet MS" w:eastAsiaTheme="majorEastAsia" w:hAnsi="Trebuchet MS" w:cstheme="majorBidi"/>
          <w:b/>
          <w:bCs/>
          <w:iCs/>
          <w:sz w:val="24"/>
        </w:rPr>
        <w:t xml:space="preserve">2.4.2. </w:t>
      </w:r>
      <w:r w:rsidR="002320E0" w:rsidRPr="000516D2">
        <w:rPr>
          <w:rFonts w:ascii="Trebuchet MS" w:eastAsiaTheme="majorEastAsia" w:hAnsi="Trebuchet MS" w:cstheme="majorBidi"/>
          <w:b/>
          <w:bCs/>
          <w:iCs/>
          <w:sz w:val="24"/>
        </w:rPr>
        <w:t xml:space="preserve">Fréquence d’utilisation des groupes électrogènes et couverture des besoins </w:t>
      </w:r>
    </w:p>
    <w:p w:rsidR="002320E0" w:rsidRPr="008D508C" w:rsidRDefault="002320E0" w:rsidP="005B33D9">
      <w:pPr>
        <w:jc w:val="both"/>
        <w:rPr>
          <w:rFonts w:ascii="Trebuchet MS" w:eastAsia="Times New Roman" w:hAnsi="Trebuchet MS"/>
          <w:lang w:eastAsia="fr-FR"/>
        </w:rPr>
      </w:pPr>
      <w:r>
        <w:rPr>
          <w:rFonts w:ascii="Trebuchet MS" w:hAnsi="Trebuchet MS"/>
        </w:rPr>
        <w:t>Il ressort de l’analyse du tableau ci-après que d</w:t>
      </w:r>
      <w:r w:rsidRPr="00C16D89">
        <w:rPr>
          <w:rFonts w:ascii="Trebuchet MS" w:eastAsia="Times New Roman" w:hAnsi="Trebuchet MS"/>
          <w:lang w:eastAsia="fr-FR"/>
        </w:rPr>
        <w:t>ans l’ensemble</w:t>
      </w:r>
      <w:r>
        <w:rPr>
          <w:rFonts w:ascii="Trebuchet MS" w:eastAsia="Times New Roman" w:hAnsi="Trebuchet MS"/>
          <w:lang w:eastAsia="fr-FR"/>
        </w:rPr>
        <w:t>,</w:t>
      </w:r>
      <w:r w:rsidRPr="00C16D89">
        <w:rPr>
          <w:rFonts w:ascii="Trebuchet MS" w:eastAsia="Times New Roman" w:hAnsi="Trebuchet MS"/>
          <w:lang w:eastAsia="fr-FR"/>
        </w:rPr>
        <w:t xml:space="preserve"> le nombre moyen d’heures par jour que le</w:t>
      </w:r>
      <w:r>
        <w:rPr>
          <w:rFonts w:ascii="Trebuchet MS" w:eastAsia="Times New Roman" w:hAnsi="Trebuchet MS"/>
          <w:lang w:eastAsia="fr-FR"/>
        </w:rPr>
        <w:t>s</w:t>
      </w:r>
      <w:r w:rsidRPr="00C16D89">
        <w:rPr>
          <w:rFonts w:ascii="Trebuchet MS" w:eastAsia="Times New Roman" w:hAnsi="Trebuchet MS"/>
          <w:lang w:eastAsia="fr-FR"/>
        </w:rPr>
        <w:t xml:space="preserve"> ménage</w:t>
      </w:r>
      <w:r>
        <w:rPr>
          <w:rFonts w:ascii="Trebuchet MS" w:eastAsia="Times New Roman" w:hAnsi="Trebuchet MS"/>
          <w:lang w:eastAsia="fr-FR"/>
        </w:rPr>
        <w:t xml:space="preserve">s utilisant les groupes électrogènes devraient faire fonctionner leur groupe </w:t>
      </w:r>
      <w:r w:rsidRPr="00C16D89">
        <w:rPr>
          <w:rFonts w:ascii="Trebuchet MS" w:eastAsia="Times New Roman" w:hAnsi="Trebuchet MS"/>
          <w:lang w:eastAsia="fr-FR"/>
        </w:rPr>
        <w:t>pour couvrir ses besoins journaliers est de 1</w:t>
      </w:r>
      <w:r>
        <w:rPr>
          <w:rFonts w:ascii="Trebuchet MS" w:eastAsia="Times New Roman" w:hAnsi="Trebuchet MS"/>
          <w:lang w:eastAsia="fr-FR"/>
        </w:rPr>
        <w:t>1</w:t>
      </w:r>
      <w:r w:rsidRPr="00C16D89">
        <w:rPr>
          <w:rFonts w:ascii="Trebuchet MS" w:eastAsia="Times New Roman" w:hAnsi="Trebuchet MS"/>
          <w:lang w:eastAsia="fr-FR"/>
        </w:rPr>
        <w:t>,</w:t>
      </w:r>
      <w:r>
        <w:rPr>
          <w:rFonts w:ascii="Trebuchet MS" w:eastAsia="Times New Roman" w:hAnsi="Trebuchet MS"/>
          <w:lang w:eastAsia="fr-FR"/>
        </w:rPr>
        <w:t>7</w:t>
      </w:r>
      <w:r w:rsidRPr="00C16D89">
        <w:rPr>
          <w:rFonts w:ascii="Trebuchet MS" w:eastAsia="Times New Roman" w:hAnsi="Trebuchet MS"/>
          <w:lang w:eastAsia="fr-FR"/>
        </w:rPr>
        <w:t xml:space="preserve"> heures. </w:t>
      </w:r>
      <w:r>
        <w:rPr>
          <w:rFonts w:ascii="Trebuchet MS" w:eastAsia="Times New Roman" w:hAnsi="Trebuchet MS"/>
          <w:lang w:eastAsia="fr-FR"/>
        </w:rPr>
        <w:t>Cette durée est largement au-dessus de la durée de fonctionnement effectif des groupes qui est estimée à 7,2 heures en moyenne ; soit un déficit de 4,5 heures. L’analyse suivant les départements révèle d’énormes disparités. En effet, la durée moyenne souhaitée pour le fonctionnement des groupes électrogènes est plus élevée dans les départements l’Atacora (20,4 heures) et du Littoral (19,6 heures) comparativement aux autres départements. Par contre, pour ces deux départements, la durée moyenne effective de fonctionnement des groupes est estimée à 8,0 heures pour l’Atacora et 15,8 heures pour le Littoral ; soit un gap de 12,4 heures et 3,8 heures respectivement.</w:t>
      </w:r>
    </w:p>
    <w:p w:rsidR="000516D2" w:rsidRPr="000516D2" w:rsidRDefault="000516D2" w:rsidP="005B33D9">
      <w:pPr>
        <w:keepNext/>
        <w:spacing w:after="0"/>
        <w:jc w:val="both"/>
        <w:rPr>
          <w:rFonts w:ascii="Trebuchet MS" w:hAnsi="Trebuchet MS"/>
          <w:b/>
        </w:rPr>
      </w:pPr>
      <w:bookmarkStart w:id="174" w:name="_Toc426359349"/>
      <w:r w:rsidRPr="000516D2">
        <w:rPr>
          <w:rFonts w:ascii="Trebuchet MS" w:eastAsia="Times New Roman" w:hAnsi="Trebuchet MS"/>
          <w:b/>
          <w:color w:val="000000"/>
          <w:sz w:val="20"/>
          <w:lang w:eastAsia="fr-FR"/>
        </w:rPr>
        <w:t xml:space="preserve">Tableau </w:t>
      </w:r>
      <w:r w:rsidR="00792500" w:rsidRPr="000516D2">
        <w:rPr>
          <w:rFonts w:ascii="Trebuchet MS" w:eastAsia="Times New Roman" w:hAnsi="Trebuchet MS"/>
          <w:b/>
          <w:color w:val="000000"/>
          <w:sz w:val="20"/>
          <w:lang w:eastAsia="fr-FR"/>
        </w:rPr>
        <w:fldChar w:fldCharType="begin"/>
      </w:r>
      <w:r w:rsidRPr="000516D2">
        <w:rPr>
          <w:rFonts w:ascii="Trebuchet MS" w:eastAsia="Times New Roman" w:hAnsi="Trebuchet MS"/>
          <w:b/>
          <w:color w:val="000000"/>
          <w:sz w:val="20"/>
          <w:lang w:eastAsia="fr-FR"/>
        </w:rPr>
        <w:instrText xml:space="preserve"> SEQ Tableau \* ARABIC </w:instrText>
      </w:r>
      <w:r w:rsidR="00792500" w:rsidRPr="000516D2">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30</w:t>
      </w:r>
      <w:r w:rsidR="00792500" w:rsidRPr="000516D2">
        <w:rPr>
          <w:rFonts w:ascii="Trebuchet MS" w:eastAsia="Times New Roman" w:hAnsi="Trebuchet MS"/>
          <w:b/>
          <w:color w:val="000000"/>
          <w:sz w:val="20"/>
          <w:lang w:eastAsia="fr-FR"/>
        </w:rPr>
        <w:fldChar w:fldCharType="end"/>
      </w:r>
      <w:r w:rsidRPr="000516D2">
        <w:rPr>
          <w:rFonts w:ascii="Trebuchet MS" w:eastAsia="Times New Roman" w:hAnsi="Trebuchet MS"/>
          <w:b/>
          <w:color w:val="000000"/>
          <w:sz w:val="20"/>
          <w:lang w:eastAsia="fr-FR"/>
        </w:rPr>
        <w:t>: Nombre moyen d’heures par jour que le ménage devait faire fonctionner ses générateurs pour couvrir ses besoins journaliers, Nombre moyen d’heures par jour que le ménage fait fonctionner effectivement ses générateurs  Proportion de ménage selon la couverture des besoins dans l'utilisation du groupe électrogène suivant le sexe du chef de ménage, le milieu de résidence et le département</w:t>
      </w:r>
      <w:bookmarkEnd w:id="174"/>
    </w:p>
    <w:tbl>
      <w:tblPr>
        <w:tblW w:w="5232"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262"/>
        <w:gridCol w:w="1822"/>
        <w:gridCol w:w="1413"/>
        <w:gridCol w:w="1207"/>
        <w:gridCol w:w="945"/>
        <w:gridCol w:w="997"/>
        <w:gridCol w:w="993"/>
      </w:tblGrid>
      <w:tr w:rsidR="002320E0" w:rsidRPr="000516D2" w:rsidTr="001D0321">
        <w:trPr>
          <w:trHeight w:val="804"/>
        </w:trPr>
        <w:tc>
          <w:tcPr>
            <w:tcW w:w="1174" w:type="pct"/>
            <w:shd w:val="clear" w:color="auto" w:fill="auto"/>
            <w:hideMark/>
          </w:tcPr>
          <w:p w:rsidR="002320E0" w:rsidRPr="000516D2" w:rsidRDefault="002320E0" w:rsidP="005B33D9">
            <w:pPr>
              <w:keepNext/>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945"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devait faire fonctionner ses générateurs pour couvrir ses besoins journaliers</w:t>
            </w:r>
          </w:p>
        </w:tc>
        <w:tc>
          <w:tcPr>
            <w:tcW w:w="733"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fait fonctionner effectivement ses générateurs</w:t>
            </w:r>
          </w:p>
        </w:tc>
        <w:tc>
          <w:tcPr>
            <w:tcW w:w="1633" w:type="pct"/>
            <w:gridSpan w:val="3"/>
            <w:tcBorders>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Proportion de ménage selon la couverture des besoins dans l'utilisation du groupe électrogène</w:t>
            </w:r>
          </w:p>
        </w:tc>
        <w:tc>
          <w:tcPr>
            <w:tcW w:w="515"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Effectif des ménages utilisant de groupes électrogènes</w:t>
            </w:r>
          </w:p>
        </w:tc>
      </w:tr>
      <w:tr w:rsidR="005B33D9" w:rsidRPr="000516D2" w:rsidTr="001D0321">
        <w:trPr>
          <w:trHeight w:val="985"/>
        </w:trPr>
        <w:tc>
          <w:tcPr>
            <w:tcW w:w="1174" w:type="pct"/>
            <w:tcBorders>
              <w:bottom w:val="single" w:sz="4" w:space="0" w:color="auto"/>
            </w:tcBorders>
            <w:shd w:val="clear" w:color="auto" w:fill="auto"/>
            <w:hideMark/>
          </w:tcPr>
          <w:p w:rsidR="002320E0" w:rsidRPr="000516D2" w:rsidRDefault="002320E0" w:rsidP="005B33D9">
            <w:pPr>
              <w:keepNext/>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945"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c>
          <w:tcPr>
            <w:tcW w:w="733"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c>
          <w:tcPr>
            <w:tcW w:w="626"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Arrive à couvrir exactement les besoins</w:t>
            </w:r>
          </w:p>
        </w:tc>
        <w:tc>
          <w:tcPr>
            <w:tcW w:w="490"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Arrive à couvrir en excès les besoins</w:t>
            </w:r>
          </w:p>
        </w:tc>
        <w:tc>
          <w:tcPr>
            <w:tcW w:w="517"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N'arrive pas à couvrir les besoins</w:t>
            </w:r>
          </w:p>
        </w:tc>
        <w:tc>
          <w:tcPr>
            <w:tcW w:w="515"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r>
      <w:tr w:rsidR="002320E0" w:rsidRPr="000516D2" w:rsidTr="001D0321">
        <w:trPr>
          <w:trHeight w:val="300"/>
        </w:trPr>
        <w:tc>
          <w:tcPr>
            <w:tcW w:w="1174" w:type="pct"/>
            <w:tcBorders>
              <w:top w:val="single" w:sz="4" w:space="0" w:color="auto"/>
              <w:bottom w:val="nil"/>
            </w:tcBorders>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Sexe du CM</w:t>
            </w:r>
          </w:p>
        </w:tc>
        <w:tc>
          <w:tcPr>
            <w:tcW w:w="945"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tcBorders>
              <w:top w:val="single" w:sz="4" w:space="0" w:color="auto"/>
              <w:bottom w:val="nil"/>
            </w:tcBorders>
            <w:shd w:val="clear" w:color="auto" w:fill="auto"/>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tcBorders>
              <w:top w:val="single" w:sz="4" w:space="0" w:color="auto"/>
              <w:bottom w:val="nil"/>
            </w:tcBorders>
            <w:shd w:val="clear" w:color="auto" w:fill="auto"/>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tcBorders>
              <w:top w:val="nil"/>
            </w:tcBorders>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Masculin</w:t>
            </w:r>
          </w:p>
        </w:tc>
        <w:tc>
          <w:tcPr>
            <w:tcW w:w="945"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7,1</w:t>
            </w:r>
          </w:p>
        </w:tc>
        <w:tc>
          <w:tcPr>
            <w:tcW w:w="626"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89,7</w:t>
            </w:r>
          </w:p>
        </w:tc>
        <w:tc>
          <w:tcPr>
            <w:tcW w:w="490"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515"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396</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Féminin</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93,4</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4,1</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31</w:t>
            </w:r>
          </w:p>
        </w:tc>
      </w:tr>
      <w:tr w:rsidR="002320E0" w:rsidRPr="000516D2" w:rsidTr="001D0321">
        <w:trPr>
          <w:trHeight w:val="300"/>
        </w:trPr>
        <w:tc>
          <w:tcPr>
            <w:tcW w:w="1174" w:type="pct"/>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Milieu de résidence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Urbain</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7,5</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Rural</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7,1</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89,0</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8,7</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289</w:t>
            </w:r>
          </w:p>
        </w:tc>
      </w:tr>
      <w:tr w:rsidR="002320E0" w:rsidRPr="000516D2" w:rsidTr="001D0321">
        <w:trPr>
          <w:trHeight w:val="300"/>
        </w:trPr>
        <w:tc>
          <w:tcPr>
            <w:tcW w:w="1174" w:type="pct"/>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Département de résidence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ALIBORI</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14,5</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9,8</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5,5</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40</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ATACORA</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20,4</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84,8</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0,7</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14,4</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ATLANTIQUE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6,3</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96,2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43</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BORGOU</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85,6</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2,6</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11,8</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41</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COLLINES</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3,1</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COUFFO</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97,7</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0,5</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DONGA</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4,2</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LITTORAL</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15,8</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93,3</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3,2</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3,6</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MONO</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4,5</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94,1</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4,3</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22</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OUEME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82,2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3,8</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14,0</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73</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PLATEAU</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12,8</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86,1</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5,6</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34</w:t>
            </w:r>
          </w:p>
        </w:tc>
      </w:tr>
      <w:tr w:rsidR="002320E0" w:rsidRPr="000516D2" w:rsidTr="001D0321">
        <w:trPr>
          <w:trHeight w:val="300"/>
        </w:trPr>
        <w:tc>
          <w:tcPr>
            <w:tcW w:w="1174" w:type="pct"/>
            <w:tcBorders>
              <w:bottom w:val="single" w:sz="4" w:space="0" w:color="auto"/>
            </w:tcBorders>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ZOU</w:t>
            </w:r>
          </w:p>
        </w:tc>
        <w:tc>
          <w:tcPr>
            <w:tcW w:w="945"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6,1</w:t>
            </w:r>
          </w:p>
        </w:tc>
        <w:tc>
          <w:tcPr>
            <w:tcW w:w="626"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94,1</w:t>
            </w:r>
          </w:p>
        </w:tc>
        <w:tc>
          <w:tcPr>
            <w:tcW w:w="490"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2,6</w:t>
            </w:r>
          </w:p>
        </w:tc>
        <w:tc>
          <w:tcPr>
            <w:tcW w:w="517"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3,3</w:t>
            </w:r>
          </w:p>
        </w:tc>
        <w:tc>
          <w:tcPr>
            <w:tcW w:w="515"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w:t>
            </w:r>
          </w:p>
        </w:tc>
      </w:tr>
      <w:tr w:rsidR="002320E0" w:rsidRPr="000516D2" w:rsidTr="001D0321">
        <w:trPr>
          <w:trHeight w:val="300"/>
        </w:trPr>
        <w:tc>
          <w:tcPr>
            <w:tcW w:w="1174" w:type="pct"/>
            <w:tcBorders>
              <w:top w:val="single" w:sz="4" w:space="0" w:color="auto"/>
              <w:bottom w:val="double" w:sz="4" w:space="0" w:color="auto"/>
            </w:tcBorders>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Ensemble</w:t>
            </w:r>
          </w:p>
        </w:tc>
        <w:tc>
          <w:tcPr>
            <w:tcW w:w="945"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626"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90,4</w:t>
            </w:r>
          </w:p>
        </w:tc>
        <w:tc>
          <w:tcPr>
            <w:tcW w:w="490"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515"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427</w:t>
            </w:r>
          </w:p>
        </w:tc>
      </w:tr>
      <w:tr w:rsidR="002320E0" w:rsidRPr="000516D2" w:rsidTr="001D0321">
        <w:tblPrEx>
          <w:tblBorders>
            <w:bottom w:val="none" w:sz="0" w:space="0" w:color="auto"/>
          </w:tblBorders>
        </w:tblPrEx>
        <w:trPr>
          <w:trHeight w:val="369"/>
        </w:trPr>
        <w:tc>
          <w:tcPr>
            <w:tcW w:w="5000" w:type="pct"/>
            <w:gridSpan w:val="7"/>
            <w:tcBorders>
              <w:top w:val="double" w:sz="4" w:space="0" w:color="auto"/>
            </w:tcBorders>
            <w:shd w:val="clear" w:color="auto" w:fill="auto"/>
            <w:hideMark/>
          </w:tcPr>
          <w:p w:rsidR="002320E0" w:rsidRPr="001D0321" w:rsidRDefault="002320E0" w:rsidP="005B33D9">
            <w:pPr>
              <w:keepNext/>
              <w:spacing w:after="0" w:line="240" w:lineRule="auto"/>
              <w:rPr>
                <w:rFonts w:ascii="Trebuchet MS" w:eastAsia="Times New Roman" w:hAnsi="Trebuchet MS"/>
                <w:b/>
                <w:color w:val="000000"/>
                <w:lang w:eastAsia="fr-FR"/>
              </w:rPr>
            </w:pPr>
            <w:r w:rsidRPr="001D0321">
              <w:rPr>
                <w:rFonts w:ascii="Trebuchet MS" w:hAnsi="Trebuchet MS" w:cs="Arial"/>
                <w:b/>
                <w:bCs/>
                <w:color w:val="000000"/>
              </w:rPr>
              <w:t>Source : ECEB, INSAE, 2015</w:t>
            </w:r>
          </w:p>
        </w:tc>
      </w:tr>
    </w:tbl>
    <w:p w:rsidR="002320E0" w:rsidRPr="005B33D9" w:rsidRDefault="002320E0" w:rsidP="002320E0">
      <w:pPr>
        <w:spacing w:after="0"/>
        <w:rPr>
          <w:rFonts w:ascii="Trebuchet MS" w:eastAsia="Times New Roman" w:hAnsi="Trebuchet MS"/>
          <w:lang w:eastAsia="fr-FR"/>
        </w:rPr>
      </w:pPr>
    </w:p>
    <w:p w:rsidR="002320E0" w:rsidRPr="008D508C" w:rsidRDefault="002320E0" w:rsidP="002320E0">
      <w:pPr>
        <w:spacing w:after="0"/>
        <w:rPr>
          <w:rFonts w:ascii="Trebuchet MS" w:eastAsia="Times New Roman" w:hAnsi="Trebuchet MS"/>
          <w:lang w:eastAsia="fr-FR"/>
        </w:rPr>
      </w:pPr>
      <w:r w:rsidRPr="008D508C">
        <w:rPr>
          <w:rFonts w:ascii="Trebuchet MS" w:eastAsia="Times New Roman" w:hAnsi="Trebuchet MS"/>
          <w:lang w:eastAsia="fr-FR"/>
        </w:rPr>
        <w:t>Ainsi, cette situation se traduit par le fait que la quasi-totalité des ménages (90,4%) utilisant les groupes électrogènes n’arrivent pas à satisfaire leur</w:t>
      </w:r>
      <w:r>
        <w:rPr>
          <w:rFonts w:ascii="Trebuchet MS" w:eastAsia="Times New Roman" w:hAnsi="Trebuchet MS"/>
          <w:lang w:eastAsia="fr-FR"/>
        </w:rPr>
        <w:t>s</w:t>
      </w:r>
      <w:r w:rsidRPr="008D508C">
        <w:rPr>
          <w:rFonts w:ascii="Trebuchet MS" w:eastAsia="Times New Roman" w:hAnsi="Trebuchet MS"/>
          <w:lang w:eastAsia="fr-FR"/>
        </w:rPr>
        <w:t xml:space="preserve"> besoins.</w:t>
      </w:r>
    </w:p>
    <w:p w:rsidR="002320E0" w:rsidRPr="005B33D9" w:rsidRDefault="002320E0" w:rsidP="002320E0">
      <w:pPr>
        <w:spacing w:after="0"/>
        <w:jc w:val="both"/>
        <w:rPr>
          <w:rFonts w:ascii="Trebuchet MS" w:eastAsia="Times New Roman" w:hAnsi="Trebuchet MS"/>
          <w:lang w:eastAsia="fr-FR"/>
        </w:rPr>
      </w:pPr>
    </w:p>
    <w:p w:rsidR="002320E0" w:rsidRDefault="005B33D9" w:rsidP="005B33D9">
      <w:pPr>
        <w:pStyle w:val="Titre4"/>
      </w:pPr>
      <w:bookmarkStart w:id="175" w:name="_Toc426359458"/>
      <w:r>
        <w:t xml:space="preserve">2.4.3. </w:t>
      </w:r>
      <w:r w:rsidR="002320E0">
        <w:t>Contraintes liées à la couverture des besoins dans l’utilisation des groupes électrogènes</w:t>
      </w:r>
      <w:bookmarkEnd w:id="175"/>
    </w:p>
    <w:p w:rsidR="002320E0" w:rsidRDefault="002320E0" w:rsidP="00CF5AC8">
      <w:pPr>
        <w:jc w:val="both"/>
        <w:rPr>
          <w:rFonts w:ascii="Trebuchet MS" w:hAnsi="Trebuchet MS"/>
        </w:rPr>
      </w:pPr>
      <w:r w:rsidRPr="00C16D89">
        <w:rPr>
          <w:rFonts w:ascii="Trebuchet MS" w:hAnsi="Trebuchet MS"/>
        </w:rPr>
        <w:t xml:space="preserve">Le tableau ci-dessus montre 68,3% </w:t>
      </w:r>
      <w:r>
        <w:rPr>
          <w:rFonts w:ascii="Trebuchet MS" w:hAnsi="Trebuchet MS"/>
        </w:rPr>
        <w:t xml:space="preserve">des </w:t>
      </w:r>
      <w:r w:rsidRPr="00C16D89">
        <w:rPr>
          <w:rFonts w:ascii="Trebuchet MS" w:hAnsi="Trebuchet MS"/>
        </w:rPr>
        <w:t xml:space="preserve">ménages </w:t>
      </w:r>
      <w:r>
        <w:rPr>
          <w:rFonts w:ascii="Trebuchet MS" w:hAnsi="Trebuchet MS"/>
        </w:rPr>
        <w:t xml:space="preserve">utilisant des groupes électrogènes et dont les besoins ne sont pas satisfaits estiment </w:t>
      </w:r>
      <w:r w:rsidRPr="00C16D89">
        <w:rPr>
          <w:rFonts w:ascii="Trebuchet MS" w:hAnsi="Trebuchet MS"/>
        </w:rPr>
        <w:t>que le coût de ca</w:t>
      </w:r>
      <w:r>
        <w:rPr>
          <w:rFonts w:ascii="Trebuchet MS" w:hAnsi="Trebuchet MS"/>
        </w:rPr>
        <w:t>r</w:t>
      </w:r>
      <w:r w:rsidRPr="00C16D89">
        <w:rPr>
          <w:rFonts w:ascii="Trebuchet MS" w:hAnsi="Trebuchet MS"/>
        </w:rPr>
        <w:t>burant</w:t>
      </w:r>
      <w:r>
        <w:rPr>
          <w:rFonts w:ascii="Trebuchet MS" w:hAnsi="Trebuchet MS"/>
        </w:rPr>
        <w:t xml:space="preserve"> est la première raison pour </w:t>
      </w:r>
      <w:r w:rsidR="005B33D9">
        <w:rPr>
          <w:rFonts w:ascii="Trebuchet MS" w:hAnsi="Trebuchet MS"/>
        </w:rPr>
        <w:t>laquelle</w:t>
      </w:r>
      <w:r w:rsidRPr="00C16D89">
        <w:rPr>
          <w:rFonts w:ascii="Trebuchet MS" w:eastAsia="Times New Roman" w:hAnsi="Trebuchet MS"/>
          <w:lang w:eastAsia="fr-FR"/>
        </w:rPr>
        <w:t>les raison les besoins ne sont pas couverts dans l'utilisation des générateurs</w:t>
      </w:r>
      <w:r>
        <w:rPr>
          <w:rFonts w:ascii="Trebuchet MS" w:eastAsia="Times New Roman" w:hAnsi="Trebuchet MS"/>
          <w:lang w:eastAsia="fr-FR"/>
        </w:rPr>
        <w:t xml:space="preserve"> ; ensuite viennent comme raisons, </w:t>
      </w:r>
      <w:r w:rsidRPr="00C16D89">
        <w:rPr>
          <w:rFonts w:ascii="Trebuchet MS" w:eastAsia="Times New Roman" w:hAnsi="Trebuchet MS"/>
          <w:lang w:eastAsia="fr-FR"/>
        </w:rPr>
        <w:t xml:space="preserve">la Pénurie  de carburant(39,1%), la capacité insuffisante des groupes (38,6%) et des  pannes de générateurs (37,5%). </w:t>
      </w:r>
      <w:r>
        <w:rPr>
          <w:rFonts w:ascii="Trebuchet MS" w:hAnsi="Trebuchet MS"/>
        </w:rPr>
        <w:t>E</w:t>
      </w:r>
      <w:r w:rsidRPr="00C16D89">
        <w:rPr>
          <w:rFonts w:ascii="Trebuchet MS" w:hAnsi="Trebuchet MS"/>
        </w:rPr>
        <w:t xml:space="preserve">n milieu rural </w:t>
      </w:r>
      <w:r>
        <w:rPr>
          <w:rFonts w:ascii="Trebuchet MS" w:hAnsi="Trebuchet MS"/>
        </w:rPr>
        <w:t xml:space="preserve">cette raison a été citée par </w:t>
      </w:r>
      <w:r w:rsidRPr="00C16D89">
        <w:rPr>
          <w:rFonts w:ascii="Trebuchet MS" w:hAnsi="Trebuchet MS"/>
        </w:rPr>
        <w:t>71,2%</w:t>
      </w:r>
      <w:r>
        <w:rPr>
          <w:rFonts w:ascii="Trebuchet MS" w:hAnsi="Trebuchet MS"/>
        </w:rPr>
        <w:t xml:space="preserve"> de ménages contre </w:t>
      </w:r>
      <w:r w:rsidRPr="00C16D89">
        <w:rPr>
          <w:rFonts w:ascii="Trebuchet MS" w:hAnsi="Trebuchet MS"/>
        </w:rPr>
        <w:t>61,5% en milieu urbain</w:t>
      </w:r>
      <w:r>
        <w:rPr>
          <w:rFonts w:ascii="Trebuchet MS" w:hAnsi="Trebuchet MS"/>
        </w:rPr>
        <w:t>.</w:t>
      </w:r>
    </w:p>
    <w:p w:rsidR="002320E0" w:rsidRPr="006C01A6" w:rsidRDefault="002320E0" w:rsidP="00CF5AC8">
      <w:pPr>
        <w:jc w:val="both"/>
        <w:rPr>
          <w:rFonts w:ascii="Trebuchet MS" w:hAnsi="Trebuchet MS"/>
          <w:sz w:val="12"/>
          <w:szCs w:val="12"/>
        </w:rPr>
      </w:pPr>
    </w:p>
    <w:p w:rsidR="002320E0" w:rsidRDefault="002320E0" w:rsidP="00CF5AC8">
      <w:pPr>
        <w:jc w:val="both"/>
        <w:rPr>
          <w:rFonts w:ascii="Trebuchet MS" w:eastAsia="Times New Roman" w:hAnsi="Trebuchet MS"/>
          <w:lang w:eastAsia="fr-FR"/>
        </w:rPr>
      </w:pPr>
      <w:r w:rsidRPr="00C16D89">
        <w:rPr>
          <w:rFonts w:ascii="Trebuchet MS" w:eastAsia="Times New Roman" w:hAnsi="Trebuchet MS"/>
          <w:lang w:eastAsia="fr-FR"/>
        </w:rPr>
        <w:t xml:space="preserve">Il est également à noter </w:t>
      </w:r>
      <w:r>
        <w:rPr>
          <w:rFonts w:ascii="Trebuchet MS" w:eastAsia="Times New Roman" w:hAnsi="Trebuchet MS"/>
          <w:lang w:eastAsia="fr-FR"/>
        </w:rPr>
        <w:t xml:space="preserve">que </w:t>
      </w:r>
      <w:r w:rsidRPr="00C16D89">
        <w:rPr>
          <w:rFonts w:ascii="Trebuchet MS" w:eastAsia="Times New Roman" w:hAnsi="Trebuchet MS"/>
          <w:lang w:eastAsia="fr-FR"/>
        </w:rPr>
        <w:t>le coût de c</w:t>
      </w:r>
      <w:r>
        <w:rPr>
          <w:rFonts w:ascii="Trebuchet MS" w:eastAsia="Times New Roman" w:hAnsi="Trebuchet MS"/>
          <w:lang w:eastAsia="fr-FR"/>
        </w:rPr>
        <w:t>ar</w:t>
      </w:r>
      <w:r w:rsidRPr="00C16D89">
        <w:rPr>
          <w:rFonts w:ascii="Trebuchet MS" w:eastAsia="Times New Roman" w:hAnsi="Trebuchet MS"/>
          <w:lang w:eastAsia="fr-FR"/>
        </w:rPr>
        <w:t>b</w:t>
      </w:r>
      <w:r>
        <w:rPr>
          <w:rFonts w:ascii="Trebuchet MS" w:eastAsia="Times New Roman" w:hAnsi="Trebuchet MS"/>
          <w:lang w:eastAsia="fr-FR"/>
        </w:rPr>
        <w:t>u</w:t>
      </w:r>
      <w:r w:rsidRPr="00C16D89">
        <w:rPr>
          <w:rFonts w:ascii="Trebuchet MS" w:eastAsia="Times New Roman" w:hAnsi="Trebuchet MS"/>
          <w:lang w:eastAsia="fr-FR"/>
        </w:rPr>
        <w:t>rant est</w:t>
      </w:r>
      <w:r>
        <w:rPr>
          <w:rFonts w:ascii="Trebuchet MS" w:eastAsia="Times New Roman" w:hAnsi="Trebuchet MS"/>
          <w:lang w:eastAsia="fr-FR"/>
        </w:rPr>
        <w:t xml:space="preserve"> cité comme </w:t>
      </w:r>
      <w:r w:rsidRPr="00C16D89">
        <w:rPr>
          <w:rFonts w:ascii="Trebuchet MS" w:eastAsia="Times New Roman" w:hAnsi="Trebuchet MS"/>
          <w:lang w:eastAsia="fr-FR"/>
        </w:rPr>
        <w:t xml:space="preserve">raison pour lesquelles les besoins ne sont pas couverts dans l’utilisation des générateurs </w:t>
      </w:r>
      <w:r>
        <w:rPr>
          <w:rFonts w:ascii="Trebuchet MS" w:eastAsia="Times New Roman" w:hAnsi="Trebuchet MS"/>
          <w:lang w:eastAsia="fr-FR"/>
        </w:rPr>
        <w:t xml:space="preserve">par </w:t>
      </w:r>
      <w:r w:rsidRPr="00C16D89">
        <w:rPr>
          <w:rFonts w:ascii="Trebuchet MS" w:eastAsia="Times New Roman" w:hAnsi="Trebuchet MS"/>
          <w:lang w:eastAsia="fr-FR"/>
        </w:rPr>
        <w:t xml:space="preserve">72,4% </w:t>
      </w:r>
      <w:r>
        <w:rPr>
          <w:rFonts w:ascii="Trebuchet MS" w:eastAsia="Times New Roman" w:hAnsi="Trebuchet MS"/>
          <w:lang w:eastAsia="fr-FR"/>
        </w:rPr>
        <w:t>des ménagesdont</w:t>
      </w:r>
      <w:r w:rsidRPr="00C16D89">
        <w:rPr>
          <w:rFonts w:ascii="Trebuchet MS" w:eastAsia="Times New Roman" w:hAnsi="Trebuchet MS"/>
          <w:lang w:eastAsia="fr-FR"/>
        </w:rPr>
        <w:t xml:space="preserve"> de chef </w:t>
      </w:r>
      <w:r>
        <w:rPr>
          <w:rFonts w:ascii="Trebuchet MS" w:eastAsia="Times New Roman" w:hAnsi="Trebuchet MS"/>
          <w:lang w:eastAsia="fr-FR"/>
        </w:rPr>
        <w:t>est d</w:t>
      </w:r>
      <w:r w:rsidRPr="00C16D89">
        <w:rPr>
          <w:rFonts w:ascii="Trebuchet MS" w:eastAsia="Times New Roman" w:hAnsi="Trebuchet MS"/>
          <w:lang w:eastAsia="fr-FR"/>
        </w:rPr>
        <w:t xml:space="preserve">e sexe masculin contre 42,9% </w:t>
      </w:r>
      <w:r>
        <w:rPr>
          <w:rFonts w:ascii="Trebuchet MS" w:eastAsia="Times New Roman" w:hAnsi="Trebuchet MS"/>
          <w:lang w:eastAsia="fr-FR"/>
        </w:rPr>
        <w:t>pour les ménages dont le chef est d</w:t>
      </w:r>
      <w:r w:rsidRPr="00C16D89">
        <w:rPr>
          <w:rFonts w:ascii="Trebuchet MS" w:eastAsia="Times New Roman" w:hAnsi="Trebuchet MS"/>
          <w:lang w:eastAsia="fr-FR"/>
        </w:rPr>
        <w:t>e sexe féminin.</w:t>
      </w:r>
    </w:p>
    <w:p w:rsidR="00CF5AC8" w:rsidRPr="00BA138C" w:rsidRDefault="00CF5AC8" w:rsidP="00BA138C">
      <w:pPr>
        <w:spacing w:after="0"/>
        <w:jc w:val="both"/>
        <w:rPr>
          <w:rFonts w:ascii="Trebuchet MS" w:eastAsia="Times New Roman" w:hAnsi="Trebuchet MS"/>
          <w:b/>
          <w:lang w:eastAsia="fr-FR"/>
        </w:rPr>
      </w:pPr>
      <w:bookmarkStart w:id="176" w:name="_Toc426359350"/>
      <w:r w:rsidRPr="00BA138C">
        <w:rPr>
          <w:rFonts w:ascii="Trebuchet MS" w:eastAsia="Times New Roman" w:hAnsi="Trebuchet MS"/>
          <w:b/>
          <w:color w:val="000000"/>
          <w:sz w:val="20"/>
          <w:lang w:eastAsia="fr-FR"/>
        </w:rPr>
        <w:t xml:space="preserve">Tableau </w:t>
      </w:r>
      <w:r w:rsidR="00792500" w:rsidRPr="00BA138C">
        <w:rPr>
          <w:rFonts w:ascii="Trebuchet MS" w:eastAsia="Times New Roman" w:hAnsi="Trebuchet MS"/>
          <w:b/>
          <w:color w:val="000000"/>
          <w:sz w:val="20"/>
          <w:lang w:eastAsia="fr-FR"/>
        </w:rPr>
        <w:fldChar w:fldCharType="begin"/>
      </w:r>
      <w:r w:rsidRPr="00BA138C">
        <w:rPr>
          <w:rFonts w:ascii="Trebuchet MS" w:eastAsia="Times New Roman" w:hAnsi="Trebuchet MS"/>
          <w:b/>
          <w:color w:val="000000"/>
          <w:sz w:val="20"/>
          <w:lang w:eastAsia="fr-FR"/>
        </w:rPr>
        <w:instrText xml:space="preserve"> SEQ Tableau \* ARABIC </w:instrText>
      </w:r>
      <w:r w:rsidR="00792500" w:rsidRPr="00BA138C">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31</w:t>
      </w:r>
      <w:r w:rsidR="00792500" w:rsidRPr="00BA138C">
        <w:rPr>
          <w:rFonts w:ascii="Trebuchet MS" w:eastAsia="Times New Roman" w:hAnsi="Trebuchet MS"/>
          <w:b/>
          <w:color w:val="000000"/>
          <w:sz w:val="20"/>
          <w:lang w:eastAsia="fr-FR"/>
        </w:rPr>
        <w:fldChar w:fldCharType="end"/>
      </w:r>
      <w:r w:rsidRPr="00BA138C">
        <w:rPr>
          <w:rFonts w:ascii="Trebuchet MS" w:eastAsia="Times New Roman" w:hAnsi="Trebuchet MS"/>
          <w:b/>
          <w:color w:val="000000"/>
          <w:sz w:val="20"/>
          <w:lang w:eastAsia="fr-FR"/>
        </w:rPr>
        <w:t>: Pourcentage de ménages suivant les raisons pour lesquelles  les besoins ne sont pas couverts dans l'utilisation des groupes électrogènes suivant le sexe du chef de ménage, le milieu de résidence et le département</w:t>
      </w:r>
      <w:bookmarkEnd w:id="176"/>
    </w:p>
    <w:tbl>
      <w:tblPr>
        <w:tblW w:w="5155"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410"/>
        <w:gridCol w:w="708"/>
        <w:gridCol w:w="849"/>
        <w:gridCol w:w="1277"/>
        <w:gridCol w:w="1277"/>
        <w:gridCol w:w="992"/>
        <w:gridCol w:w="1985"/>
      </w:tblGrid>
      <w:tr w:rsidR="002320E0" w:rsidRPr="00CF5AC8" w:rsidTr="00BA138C">
        <w:trPr>
          <w:trHeight w:val="792"/>
        </w:trPr>
        <w:tc>
          <w:tcPr>
            <w:tcW w:w="1269" w:type="pct"/>
            <w:shd w:val="clear" w:color="auto" w:fill="auto"/>
            <w:hideMark/>
          </w:tcPr>
          <w:p w:rsidR="002320E0" w:rsidRPr="00CF5AC8" w:rsidRDefault="002320E0" w:rsidP="00BA138C">
            <w:pPr>
              <w:spacing w:after="0" w:line="240" w:lineRule="auto"/>
              <w:rPr>
                <w:rFonts w:ascii="Trebuchet MS" w:eastAsia="Times New Roman" w:hAnsi="Trebuchet MS"/>
                <w:b/>
                <w:bCs/>
                <w:color w:val="000000"/>
                <w:lang w:eastAsia="fr-FR"/>
              </w:rPr>
            </w:pPr>
            <w:r w:rsidRPr="00CF5AC8">
              <w:rPr>
                <w:rFonts w:ascii="Trebuchet MS" w:eastAsia="Times New Roman" w:hAnsi="Trebuchet MS"/>
                <w:b/>
                <w:bCs/>
                <w:color w:val="000000"/>
                <w:lang w:eastAsia="fr-FR"/>
              </w:rPr>
              <w:t> </w:t>
            </w:r>
          </w:p>
        </w:tc>
        <w:tc>
          <w:tcPr>
            <w:tcW w:w="2686" w:type="pct"/>
            <w:gridSpan w:val="5"/>
            <w:tcBorders>
              <w:bottom w:val="single" w:sz="4" w:space="0" w:color="auto"/>
            </w:tcBorders>
            <w:shd w:val="clear" w:color="auto" w:fill="auto"/>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Pourcentage de ménages suivant les raisons pour lesquelles  les besoins ne sont pas couverts dans l'utilisation des groupes électrogènes</w:t>
            </w:r>
          </w:p>
        </w:tc>
        <w:tc>
          <w:tcPr>
            <w:tcW w:w="1045" w:type="pct"/>
            <w:vMerge w:val="restart"/>
            <w:shd w:val="clear" w:color="auto" w:fill="auto"/>
            <w:vAlign w:val="center"/>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Effectif des ménages utilisant des groupes électrogènes et qui n'arrivent pas à satisfaire les besoins</w:t>
            </w:r>
          </w:p>
        </w:tc>
      </w:tr>
      <w:tr w:rsidR="00CF5AC8" w:rsidRPr="00CF5AC8" w:rsidTr="00BA138C">
        <w:trPr>
          <w:trHeight w:val="973"/>
        </w:trPr>
        <w:tc>
          <w:tcPr>
            <w:tcW w:w="1269" w:type="pct"/>
            <w:tcBorders>
              <w:bottom w:val="single" w:sz="4" w:space="0" w:color="auto"/>
            </w:tcBorders>
            <w:shd w:val="clear" w:color="auto" w:fill="auto"/>
            <w:hideMark/>
          </w:tcPr>
          <w:p w:rsidR="002320E0" w:rsidRPr="00CF5AC8" w:rsidRDefault="002320E0" w:rsidP="00BA138C">
            <w:pPr>
              <w:spacing w:after="0" w:line="240" w:lineRule="auto"/>
              <w:rPr>
                <w:rFonts w:ascii="Trebuchet MS" w:eastAsia="Times New Roman" w:hAnsi="Trebuchet MS"/>
                <w:b/>
                <w:bCs/>
                <w:color w:val="000000"/>
                <w:sz w:val="20"/>
                <w:szCs w:val="20"/>
                <w:lang w:eastAsia="fr-FR"/>
              </w:rPr>
            </w:pPr>
            <w:r w:rsidRPr="00CF5AC8">
              <w:rPr>
                <w:rFonts w:ascii="Trebuchet MS" w:eastAsia="Times New Roman" w:hAnsi="Trebuchet MS"/>
                <w:b/>
                <w:bCs/>
                <w:color w:val="000000"/>
                <w:sz w:val="20"/>
                <w:szCs w:val="20"/>
                <w:lang w:eastAsia="fr-FR"/>
              </w:rPr>
              <w:t> </w:t>
            </w:r>
          </w:p>
        </w:tc>
        <w:tc>
          <w:tcPr>
            <w:tcW w:w="373"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Coût du carburant</w:t>
            </w:r>
          </w:p>
        </w:tc>
        <w:tc>
          <w:tcPr>
            <w:tcW w:w="447"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Pénurie de carburant</w:t>
            </w:r>
          </w:p>
        </w:tc>
        <w:tc>
          <w:tcPr>
            <w:tcW w:w="67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Capacité du gro</w:t>
            </w:r>
            <w:r w:rsidR="00CF5AC8">
              <w:rPr>
                <w:rFonts w:ascii="Trebuchet MS" w:eastAsia="Times New Roman" w:hAnsi="Trebuchet MS"/>
                <w:color w:val="000000"/>
                <w:sz w:val="20"/>
                <w:szCs w:val="20"/>
                <w:lang w:eastAsia="fr-FR"/>
              </w:rPr>
              <w:t>upe électrogène insuffisante</w:t>
            </w:r>
          </w:p>
        </w:tc>
        <w:tc>
          <w:tcPr>
            <w:tcW w:w="67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Panne des générateurs</w:t>
            </w:r>
          </w:p>
        </w:tc>
        <w:tc>
          <w:tcPr>
            <w:tcW w:w="52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Autres raisons</w:t>
            </w:r>
          </w:p>
        </w:tc>
        <w:tc>
          <w:tcPr>
            <w:tcW w:w="1045" w:type="pct"/>
            <w:vMerge/>
            <w:tcBorders>
              <w:bottom w:val="single" w:sz="4" w:space="0" w:color="auto"/>
            </w:tcBorders>
            <w:shd w:val="clear" w:color="auto" w:fill="auto"/>
            <w:vAlign w:val="center"/>
            <w:hideMark/>
          </w:tcPr>
          <w:p w:rsidR="002320E0" w:rsidRPr="00CF5AC8" w:rsidRDefault="002320E0" w:rsidP="00BA138C">
            <w:pPr>
              <w:spacing w:after="0" w:line="240" w:lineRule="auto"/>
              <w:rPr>
                <w:rFonts w:ascii="Trebuchet MS" w:eastAsia="Times New Roman" w:hAnsi="Trebuchet MS"/>
                <w:color w:val="000000"/>
                <w:sz w:val="20"/>
                <w:szCs w:val="20"/>
                <w:lang w:eastAsia="fr-FR"/>
              </w:rPr>
            </w:pPr>
          </w:p>
        </w:tc>
      </w:tr>
      <w:tr w:rsidR="00CF5AC8" w:rsidRPr="00CF5AC8" w:rsidTr="00BA138C">
        <w:trPr>
          <w:trHeight w:val="300"/>
        </w:trPr>
        <w:tc>
          <w:tcPr>
            <w:tcW w:w="1269" w:type="pct"/>
            <w:tcBorders>
              <w:top w:val="single" w:sz="4" w:space="0" w:color="auto"/>
              <w:bottom w:val="nil"/>
            </w:tcBorders>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Sexe du CM</w:t>
            </w:r>
          </w:p>
        </w:tc>
        <w:tc>
          <w:tcPr>
            <w:tcW w:w="373"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447"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672"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672"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522" w:type="pct"/>
            <w:tcBorders>
              <w:top w:val="single" w:sz="4" w:space="0" w:color="auto"/>
              <w:bottom w:val="nil"/>
            </w:tcBorders>
            <w:shd w:val="clear" w:color="auto" w:fill="auto"/>
            <w:noWrap/>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1045" w:type="pct"/>
            <w:tcBorders>
              <w:top w:val="single" w:sz="4" w:space="0" w:color="auto"/>
              <w:bottom w:val="nil"/>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r>
      <w:tr w:rsidR="00CF5AC8" w:rsidRPr="00CF5AC8" w:rsidTr="00BA138C">
        <w:trPr>
          <w:trHeight w:val="300"/>
        </w:trPr>
        <w:tc>
          <w:tcPr>
            <w:tcW w:w="1269" w:type="pct"/>
            <w:tcBorders>
              <w:top w:val="nil"/>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Masculin</w:t>
            </w:r>
          </w:p>
        </w:tc>
        <w:tc>
          <w:tcPr>
            <w:tcW w:w="373"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72,4</w:t>
            </w:r>
          </w:p>
        </w:tc>
        <w:tc>
          <w:tcPr>
            <w:tcW w:w="447"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42,4</w:t>
            </w:r>
          </w:p>
        </w:tc>
        <w:tc>
          <w:tcPr>
            <w:tcW w:w="67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42,2</w:t>
            </w:r>
          </w:p>
        </w:tc>
        <w:tc>
          <w:tcPr>
            <w:tcW w:w="67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41,0</w:t>
            </w:r>
          </w:p>
        </w:tc>
        <w:tc>
          <w:tcPr>
            <w:tcW w:w="52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9,3</w:t>
            </w:r>
          </w:p>
        </w:tc>
        <w:tc>
          <w:tcPr>
            <w:tcW w:w="1045"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244</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Féminin</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18,6</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16,3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16,3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4,7</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31</w:t>
            </w:r>
          </w:p>
        </w:tc>
      </w:tr>
      <w:tr w:rsidR="00CF5AC8" w:rsidRPr="00CF5AC8" w:rsidTr="00BA138C">
        <w:trPr>
          <w:trHeight w:val="300"/>
        </w:trPr>
        <w:tc>
          <w:tcPr>
            <w:tcW w:w="1269" w:type="pct"/>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Milieu de résidence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Urbain</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61,5</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34,4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43,0</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38,0</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Rural</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71,2</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36,6</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37,3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194</w:t>
            </w:r>
          </w:p>
        </w:tc>
      </w:tr>
      <w:tr w:rsidR="00CF5AC8" w:rsidRPr="00CF5AC8" w:rsidTr="00BA138C">
        <w:trPr>
          <w:trHeight w:val="300"/>
        </w:trPr>
        <w:tc>
          <w:tcPr>
            <w:tcW w:w="1269" w:type="pct"/>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Département de résidence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ALIBORI</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62,5</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50,0</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62,5</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73,7</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33,3</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17</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ATACORA</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70,7</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57,1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58,5</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7,3</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40</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ATLANTIQUE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BORGOU</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63,3</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COLLINES</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68,3</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30,2</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19,1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20,6</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4,8</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COUFFO</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DONGA</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100,0</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85,7</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71,4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0,0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13</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LITTORAL</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MONO</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88,2</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47,1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17,7</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13</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OUEME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58,6</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25,4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36,8</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27,6</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56</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PLATEAU</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w:t>
            </w:r>
          </w:p>
        </w:tc>
      </w:tr>
      <w:tr w:rsidR="00CF5AC8" w:rsidRPr="00CF5AC8" w:rsidTr="00BA138C">
        <w:trPr>
          <w:trHeight w:val="300"/>
        </w:trPr>
        <w:tc>
          <w:tcPr>
            <w:tcW w:w="1269" w:type="pct"/>
            <w:tcBorders>
              <w:bottom w:val="single" w:sz="4" w:space="0" w:color="auto"/>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ZOU</w:t>
            </w:r>
          </w:p>
        </w:tc>
        <w:tc>
          <w:tcPr>
            <w:tcW w:w="373"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59,3</w:t>
            </w:r>
          </w:p>
        </w:tc>
        <w:tc>
          <w:tcPr>
            <w:tcW w:w="447"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26,9</w:t>
            </w:r>
          </w:p>
        </w:tc>
        <w:tc>
          <w:tcPr>
            <w:tcW w:w="67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11,1</w:t>
            </w:r>
          </w:p>
        </w:tc>
        <w:tc>
          <w:tcPr>
            <w:tcW w:w="67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14,8</w:t>
            </w:r>
          </w:p>
        </w:tc>
        <w:tc>
          <w:tcPr>
            <w:tcW w:w="52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0,0</w:t>
            </w:r>
          </w:p>
        </w:tc>
        <w:tc>
          <w:tcPr>
            <w:tcW w:w="1045"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15</w:t>
            </w:r>
          </w:p>
        </w:tc>
      </w:tr>
      <w:tr w:rsidR="00CF5AC8" w:rsidRPr="00CF5AC8" w:rsidTr="00BA138C">
        <w:trPr>
          <w:trHeight w:val="300"/>
        </w:trPr>
        <w:tc>
          <w:tcPr>
            <w:tcW w:w="1269"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Ensemble</w:t>
            </w:r>
          </w:p>
        </w:tc>
        <w:tc>
          <w:tcPr>
            <w:tcW w:w="373"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68,3</w:t>
            </w:r>
          </w:p>
        </w:tc>
        <w:tc>
          <w:tcPr>
            <w:tcW w:w="447"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39,1</w:t>
            </w:r>
          </w:p>
        </w:tc>
        <w:tc>
          <w:tcPr>
            <w:tcW w:w="67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38,6</w:t>
            </w:r>
          </w:p>
        </w:tc>
        <w:tc>
          <w:tcPr>
            <w:tcW w:w="67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37,5</w:t>
            </w:r>
          </w:p>
        </w:tc>
        <w:tc>
          <w:tcPr>
            <w:tcW w:w="52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8,6</w:t>
            </w:r>
          </w:p>
        </w:tc>
        <w:tc>
          <w:tcPr>
            <w:tcW w:w="1045"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275</w:t>
            </w:r>
          </w:p>
        </w:tc>
      </w:tr>
      <w:tr w:rsidR="002320E0" w:rsidRPr="00CF5AC8" w:rsidTr="00BA138C">
        <w:tblPrEx>
          <w:tblBorders>
            <w:bottom w:val="none" w:sz="0" w:space="0" w:color="auto"/>
          </w:tblBorders>
        </w:tblPrEx>
        <w:trPr>
          <w:trHeight w:val="369"/>
        </w:trPr>
        <w:tc>
          <w:tcPr>
            <w:tcW w:w="5000" w:type="pct"/>
            <w:gridSpan w:val="7"/>
            <w:tcBorders>
              <w:top w:val="double" w:sz="4" w:space="0" w:color="auto"/>
            </w:tcBorders>
            <w:shd w:val="clear" w:color="auto" w:fill="auto"/>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hAnsi="Trebuchet MS" w:cs="Arial"/>
                <w:bCs/>
                <w:color w:val="000000"/>
              </w:rPr>
              <w:t>Source : ECEB, INSAE, 2015</w:t>
            </w:r>
          </w:p>
        </w:tc>
      </w:tr>
    </w:tbl>
    <w:p w:rsidR="002320E0" w:rsidRPr="00BA138C" w:rsidRDefault="002320E0" w:rsidP="00BA138C">
      <w:pPr>
        <w:spacing w:after="0"/>
        <w:jc w:val="both"/>
        <w:rPr>
          <w:rFonts w:ascii="Trebuchet MS" w:hAnsi="Trebuchet MS"/>
        </w:rPr>
      </w:pPr>
    </w:p>
    <w:p w:rsidR="002320E0" w:rsidRDefault="00BA138C" w:rsidP="00BA138C">
      <w:pPr>
        <w:pStyle w:val="Titre4"/>
      </w:pPr>
      <w:bookmarkStart w:id="177" w:name="_Toc426359459"/>
      <w:r>
        <w:t xml:space="preserve">2.4.4. </w:t>
      </w:r>
      <w:r w:rsidR="002320E0">
        <w:t>Contraintes liées à la couverture des besoins p</w:t>
      </w:r>
      <w:r w:rsidR="004E3DBA">
        <w:t>a</w:t>
      </w:r>
      <w:r w:rsidR="002320E0">
        <w:t>r les sources alternatives aux groupes électrogènes</w:t>
      </w:r>
      <w:bookmarkEnd w:id="177"/>
    </w:p>
    <w:p w:rsidR="002320E0" w:rsidRPr="00BA138C" w:rsidRDefault="002320E0" w:rsidP="00BA138C">
      <w:pPr>
        <w:jc w:val="both"/>
        <w:rPr>
          <w:rFonts w:ascii="Trebuchet MS" w:eastAsia="Times New Roman" w:hAnsi="Trebuchet MS"/>
          <w:lang w:eastAsia="fr-FR"/>
        </w:rPr>
      </w:pPr>
      <w:r w:rsidRPr="00BA138C">
        <w:rPr>
          <w:rFonts w:ascii="Trebuchet MS" w:hAnsi="Trebuchet MS"/>
        </w:rPr>
        <w:t xml:space="preserve">Le tableau ci-dessus montre que dans l’ensemble parmi les ménages </w:t>
      </w:r>
      <w:r w:rsidRPr="00BA138C">
        <w:rPr>
          <w:rFonts w:ascii="Trebuchet MS" w:eastAsia="Times New Roman" w:hAnsi="Trebuchet MS"/>
          <w:lang w:eastAsia="fr-FR"/>
        </w:rPr>
        <w:t xml:space="preserve">dont la durée de fonctionnent effectif des groupes est égale à la durée souhaité, </w:t>
      </w:r>
      <w:r w:rsidRPr="00BA138C">
        <w:rPr>
          <w:rFonts w:ascii="Trebuchet MS" w:hAnsi="Trebuchet MS"/>
        </w:rPr>
        <w:t xml:space="preserve">66,2% d’entre eux </w:t>
      </w:r>
      <w:r w:rsidRPr="00BA138C">
        <w:rPr>
          <w:rFonts w:ascii="Trebuchet MS" w:eastAsia="Times New Roman" w:hAnsi="Trebuchet MS"/>
          <w:lang w:eastAsia="fr-FR"/>
        </w:rPr>
        <w:t xml:space="preserve">n'arrivent pas à couvrir leurs besoins par les sources alternatives aux groupes. Les raisons sont pour la plupart : la capacité de la source alternative insuffisante </w:t>
      </w:r>
      <w:r w:rsidRPr="00BA138C">
        <w:rPr>
          <w:rFonts w:ascii="Trebuchet MS" w:hAnsi="Trebuchet MS"/>
        </w:rPr>
        <w:t>(65,4%),</w:t>
      </w:r>
      <w:r w:rsidRPr="00BA138C">
        <w:rPr>
          <w:rFonts w:ascii="Trebuchet MS" w:eastAsia="Times New Roman" w:hAnsi="Trebuchet MS"/>
          <w:lang w:eastAsia="fr-FR"/>
        </w:rPr>
        <w:t xml:space="preserve"> le coût élevé des sources alternatives (48,1%) et la </w:t>
      </w:r>
      <w:r w:rsidRPr="00BA138C">
        <w:rPr>
          <w:rFonts w:ascii="Trebuchet MS" w:hAnsi="Trebuchet MS"/>
        </w:rPr>
        <w:t>pénurie</w:t>
      </w:r>
      <w:r w:rsidRPr="00BA138C">
        <w:rPr>
          <w:rFonts w:ascii="Trebuchet MS" w:eastAsia="Times New Roman" w:hAnsi="Trebuchet MS"/>
          <w:lang w:eastAsia="fr-FR"/>
        </w:rPr>
        <w:t xml:space="preserve"> de matières premières pour alimenter les sources d’énergie alternatives (30,2%). Ces raisons sont plus accentuées dans le milieu rural (74,8%) qu’en milieu urbain (46 ,8%).</w:t>
      </w:r>
    </w:p>
    <w:p w:rsidR="00BA138C" w:rsidRPr="007576CE" w:rsidRDefault="007576CE" w:rsidP="007576CE">
      <w:pPr>
        <w:spacing w:after="0" w:line="240" w:lineRule="auto"/>
        <w:jc w:val="both"/>
        <w:rPr>
          <w:b/>
          <w:szCs w:val="24"/>
        </w:rPr>
      </w:pPr>
      <w:bookmarkStart w:id="178" w:name="_Toc426359351"/>
      <w:r w:rsidRPr="007576CE">
        <w:rPr>
          <w:rFonts w:ascii="Trebuchet MS" w:eastAsia="Times New Roman" w:hAnsi="Trebuchet MS"/>
          <w:b/>
          <w:color w:val="000000"/>
          <w:sz w:val="20"/>
          <w:lang w:eastAsia="fr-FR"/>
        </w:rPr>
        <w:t xml:space="preserve">Tableau </w:t>
      </w:r>
      <w:r w:rsidR="00792500" w:rsidRPr="007576CE">
        <w:rPr>
          <w:rFonts w:ascii="Trebuchet MS" w:eastAsia="Times New Roman" w:hAnsi="Trebuchet MS"/>
          <w:b/>
          <w:color w:val="000000"/>
          <w:sz w:val="20"/>
          <w:lang w:eastAsia="fr-FR"/>
        </w:rPr>
        <w:fldChar w:fldCharType="begin"/>
      </w:r>
      <w:r w:rsidRPr="007576CE">
        <w:rPr>
          <w:rFonts w:ascii="Trebuchet MS" w:eastAsia="Times New Roman" w:hAnsi="Trebuchet MS"/>
          <w:b/>
          <w:color w:val="000000"/>
          <w:sz w:val="20"/>
          <w:lang w:eastAsia="fr-FR"/>
        </w:rPr>
        <w:instrText xml:space="preserve"> SEQ Tableau \* ARABIC </w:instrText>
      </w:r>
      <w:r w:rsidR="00792500" w:rsidRPr="007576CE">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32</w:t>
      </w:r>
      <w:r w:rsidR="00792500" w:rsidRPr="007576CE">
        <w:rPr>
          <w:rFonts w:ascii="Trebuchet MS" w:eastAsia="Times New Roman" w:hAnsi="Trebuchet MS"/>
          <w:b/>
          <w:color w:val="000000"/>
          <w:sz w:val="20"/>
          <w:lang w:eastAsia="fr-FR"/>
        </w:rPr>
        <w:fldChar w:fldCharType="end"/>
      </w:r>
      <w:r w:rsidRPr="007576CE">
        <w:rPr>
          <w:rFonts w:ascii="Trebuchet MS" w:eastAsia="Times New Roman" w:hAnsi="Trebuchet MS"/>
          <w:b/>
          <w:color w:val="000000"/>
          <w:sz w:val="20"/>
          <w:lang w:eastAsia="fr-FR"/>
        </w:rPr>
        <w:t>: Proportion de ménages dont la durée de fonctionnent effectif des groupes est égale à la durée souhaité et qui n'arrivent pas à couvrir leurs besoins par les sources alternatives aux groupes, Pourcentage de ménages suivant les raisons pour la non couverture des besoins par des sources alternatives aux groupes électrogènes suivant le sexe du chef de ménage, le milieu de résidence et le département</w:t>
      </w:r>
      <w:bookmarkEnd w:id="178"/>
    </w:p>
    <w:tbl>
      <w:tblPr>
        <w:tblW w:w="5155" w:type="pct"/>
        <w:tblInd w:w="70"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1985"/>
        <w:gridCol w:w="1983"/>
        <w:gridCol w:w="853"/>
        <w:gridCol w:w="1558"/>
        <w:gridCol w:w="1134"/>
        <w:gridCol w:w="1985"/>
      </w:tblGrid>
      <w:tr w:rsidR="002320E0" w:rsidRPr="007576CE" w:rsidTr="00F513AC">
        <w:trPr>
          <w:trHeight w:val="930"/>
        </w:trPr>
        <w:tc>
          <w:tcPr>
            <w:tcW w:w="1045" w:type="pct"/>
            <w:shd w:val="clear" w:color="auto" w:fill="auto"/>
            <w:hideMark/>
          </w:tcPr>
          <w:p w:rsidR="002320E0" w:rsidRPr="007576CE" w:rsidRDefault="002320E0" w:rsidP="00605DE4">
            <w:pPr>
              <w:spacing w:after="0" w:line="240" w:lineRule="auto"/>
              <w:rPr>
                <w:rFonts w:ascii="Trebuchet MS" w:eastAsia="Times New Roman" w:hAnsi="Trebuchet MS"/>
                <w:b/>
                <w:bCs/>
                <w:color w:val="000000"/>
                <w:lang w:eastAsia="fr-FR"/>
              </w:rPr>
            </w:pPr>
            <w:r w:rsidRPr="007576CE">
              <w:rPr>
                <w:rFonts w:ascii="Trebuchet MS" w:eastAsia="Times New Roman" w:hAnsi="Trebuchet MS"/>
                <w:b/>
                <w:bCs/>
                <w:color w:val="000000"/>
                <w:lang w:eastAsia="fr-FR"/>
              </w:rPr>
              <w:t> </w:t>
            </w:r>
          </w:p>
        </w:tc>
        <w:tc>
          <w:tcPr>
            <w:tcW w:w="1044" w:type="pct"/>
            <w:vMerge w:val="restart"/>
            <w:shd w:val="clear" w:color="auto" w:fill="auto"/>
            <w:hideMark/>
          </w:tcPr>
          <w:p w:rsidR="002320E0" w:rsidRPr="003B065C" w:rsidRDefault="002320E0" w:rsidP="00F513AC">
            <w:pPr>
              <w:spacing w:after="0" w:line="240" w:lineRule="auto"/>
              <w:jc w:val="center"/>
              <w:rPr>
                <w:rFonts w:ascii="Trebuchet MS" w:eastAsia="Times New Roman" w:hAnsi="Trebuchet MS"/>
                <w:color w:val="000000"/>
                <w:sz w:val="20"/>
                <w:szCs w:val="20"/>
                <w:lang w:eastAsia="fr-FR"/>
              </w:rPr>
            </w:pPr>
            <w:r w:rsidRPr="003B065C">
              <w:rPr>
                <w:rFonts w:ascii="Trebuchet MS" w:eastAsia="Times New Roman" w:hAnsi="Trebuchet MS"/>
                <w:color w:val="000000"/>
                <w:sz w:val="20"/>
                <w:szCs w:val="20"/>
                <w:lang w:eastAsia="fr-FR"/>
              </w:rPr>
              <w:t>Proportion de ménages dont la durée de fonctionnent effectif des groupes est égale à la durée souhaité et qui n'arrivent pas à couvrir leurs besoins par les sources alternatives aux groupes</w:t>
            </w:r>
          </w:p>
        </w:tc>
        <w:tc>
          <w:tcPr>
            <w:tcW w:w="1866" w:type="pct"/>
            <w:gridSpan w:val="3"/>
            <w:tcBorders>
              <w:bottom w:val="single" w:sz="4" w:space="0" w:color="auto"/>
            </w:tcBorders>
            <w:shd w:val="clear" w:color="auto" w:fill="auto"/>
            <w:hideMark/>
          </w:tcPr>
          <w:p w:rsidR="002320E0" w:rsidRPr="007576CE" w:rsidRDefault="002320E0" w:rsidP="00F513AC">
            <w:pPr>
              <w:spacing w:after="24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Pourcentage de ménages suivant les raisons pour la non couverture des besoins par des sources alternatives aux groupes électrogènes</w:t>
            </w:r>
          </w:p>
        </w:tc>
        <w:tc>
          <w:tcPr>
            <w:tcW w:w="1045" w:type="pct"/>
            <w:vMerge w:val="restart"/>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Effectif des ménages couvrant exactement les besoins dans l'utilisation des groupes et qui n'arrivent pas à couvrir leurs besoins par les sources alternatives aux groupes</w:t>
            </w:r>
          </w:p>
        </w:tc>
      </w:tr>
      <w:tr w:rsidR="002320E0" w:rsidRPr="007576CE" w:rsidTr="00F513AC">
        <w:trPr>
          <w:trHeight w:val="1127"/>
        </w:trPr>
        <w:tc>
          <w:tcPr>
            <w:tcW w:w="1045" w:type="pct"/>
            <w:tcBorders>
              <w:bottom w:val="single" w:sz="4" w:space="0" w:color="auto"/>
            </w:tcBorders>
            <w:shd w:val="clear" w:color="auto" w:fill="auto"/>
            <w:hideMark/>
          </w:tcPr>
          <w:p w:rsidR="002320E0" w:rsidRPr="007576CE" w:rsidRDefault="002320E0" w:rsidP="00605DE4">
            <w:pPr>
              <w:spacing w:after="0" w:line="240" w:lineRule="auto"/>
              <w:rPr>
                <w:rFonts w:ascii="Trebuchet MS" w:eastAsia="Times New Roman" w:hAnsi="Trebuchet MS"/>
                <w:b/>
                <w:bCs/>
                <w:color w:val="000000"/>
                <w:lang w:eastAsia="fr-FR"/>
              </w:rPr>
            </w:pPr>
            <w:r w:rsidRPr="007576CE">
              <w:rPr>
                <w:rFonts w:ascii="Trebuchet MS" w:eastAsia="Times New Roman" w:hAnsi="Trebuchet MS"/>
                <w:b/>
                <w:bCs/>
                <w:color w:val="000000"/>
                <w:lang w:eastAsia="fr-FR"/>
              </w:rPr>
              <w:t> </w:t>
            </w:r>
          </w:p>
        </w:tc>
        <w:tc>
          <w:tcPr>
            <w:tcW w:w="1044" w:type="pct"/>
            <w:vMerge/>
            <w:tcBorders>
              <w:bottom w:val="single" w:sz="4" w:space="0" w:color="auto"/>
            </w:tcBorders>
            <w:shd w:val="clear" w:color="auto" w:fill="auto"/>
            <w:vAlign w:val="center"/>
            <w:hideMark/>
          </w:tcPr>
          <w:p w:rsidR="002320E0" w:rsidRPr="007576CE" w:rsidRDefault="002320E0" w:rsidP="00605DE4">
            <w:pPr>
              <w:spacing w:after="0" w:line="240" w:lineRule="auto"/>
              <w:rPr>
                <w:rFonts w:ascii="Trebuchet MS" w:eastAsia="Times New Roman" w:hAnsi="Trebuchet MS"/>
                <w:color w:val="000000"/>
                <w:sz w:val="20"/>
                <w:szCs w:val="20"/>
                <w:lang w:eastAsia="fr-FR"/>
              </w:rPr>
            </w:pPr>
          </w:p>
        </w:tc>
        <w:tc>
          <w:tcPr>
            <w:tcW w:w="449"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Cout élevé des sources alternatives</w:t>
            </w:r>
          </w:p>
        </w:tc>
        <w:tc>
          <w:tcPr>
            <w:tcW w:w="820"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Pénurie de matières premières pour alimenter les sources d’énergie alternatives</w:t>
            </w:r>
          </w:p>
        </w:tc>
        <w:tc>
          <w:tcPr>
            <w:tcW w:w="597"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Capacité de la source alternative insuffisante</w:t>
            </w:r>
          </w:p>
        </w:tc>
        <w:tc>
          <w:tcPr>
            <w:tcW w:w="1045" w:type="pct"/>
            <w:vMerge/>
            <w:tcBorders>
              <w:bottom w:val="single" w:sz="4" w:space="0" w:color="auto"/>
            </w:tcBorders>
            <w:shd w:val="clear" w:color="auto" w:fill="auto"/>
            <w:vAlign w:val="center"/>
            <w:hideMark/>
          </w:tcPr>
          <w:p w:rsidR="002320E0" w:rsidRPr="007576CE" w:rsidRDefault="002320E0" w:rsidP="00605DE4">
            <w:pPr>
              <w:spacing w:after="0" w:line="240" w:lineRule="auto"/>
              <w:rPr>
                <w:rFonts w:ascii="Trebuchet MS" w:eastAsia="Times New Roman" w:hAnsi="Trebuchet MS"/>
                <w:color w:val="000000"/>
                <w:sz w:val="20"/>
                <w:szCs w:val="20"/>
                <w:lang w:eastAsia="fr-FR"/>
              </w:rPr>
            </w:pPr>
          </w:p>
        </w:tc>
      </w:tr>
      <w:tr w:rsidR="002320E0" w:rsidRPr="007576CE" w:rsidTr="00F513AC">
        <w:trPr>
          <w:trHeight w:val="300"/>
        </w:trPr>
        <w:tc>
          <w:tcPr>
            <w:tcW w:w="1045" w:type="pct"/>
            <w:tcBorders>
              <w:top w:val="single" w:sz="4" w:space="0" w:color="auto"/>
              <w:bottom w:val="nil"/>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Sexe du CM</w:t>
            </w:r>
          </w:p>
        </w:tc>
        <w:tc>
          <w:tcPr>
            <w:tcW w:w="1044"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tcBorders>
              <w:top w:val="single" w:sz="4" w:space="0" w:color="auto"/>
              <w:bottom w:val="nil"/>
            </w:tcBorders>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tcBorders>
              <w:top w:val="single" w:sz="4" w:space="0" w:color="auto"/>
              <w:bottom w:val="nil"/>
            </w:tcBorders>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597"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1045"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F513AC">
        <w:trPr>
          <w:trHeight w:val="300"/>
        </w:trPr>
        <w:tc>
          <w:tcPr>
            <w:tcW w:w="1045" w:type="pct"/>
            <w:tcBorders>
              <w:top w:val="nil"/>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Masculin</w:t>
            </w:r>
          </w:p>
        </w:tc>
        <w:tc>
          <w:tcPr>
            <w:tcW w:w="1044"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69,0</w:t>
            </w:r>
          </w:p>
        </w:tc>
        <w:tc>
          <w:tcPr>
            <w:tcW w:w="449"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46,6</w:t>
            </w:r>
          </w:p>
        </w:tc>
        <w:tc>
          <w:tcPr>
            <w:tcW w:w="820"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30,3</w:t>
            </w:r>
          </w:p>
        </w:tc>
        <w:tc>
          <w:tcPr>
            <w:tcW w:w="597"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66,6</w:t>
            </w:r>
          </w:p>
        </w:tc>
        <w:tc>
          <w:tcPr>
            <w:tcW w:w="1045"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142</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Féminin</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54,4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29,8</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60,4</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12</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Milieu de résidence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Urbain</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46,8</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39,6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21,7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63,8</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47</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Rural</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74,8</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53,3</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35,5</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66,4</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107</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Département de résidence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ALIBORI</w:t>
            </w:r>
          </w:p>
        </w:tc>
        <w:tc>
          <w:tcPr>
            <w:tcW w:w="1044" w:type="pct"/>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75,0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82,0</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76,7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89,9</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ATACORA</w:t>
            </w:r>
          </w:p>
        </w:tc>
        <w:tc>
          <w:tcPr>
            <w:tcW w:w="1044" w:type="pct"/>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43,7</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ATLANTIQUE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44,5</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15,8</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38,1</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20</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BORGOU</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9,9</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71,2</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COLLINES</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72,2</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71,7</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16,7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69,1</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18</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COUFFO</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12,5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94,6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15,6</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85,5</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DONGA</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15,5</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8,2</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88,8</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LITTORAL</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37,5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53,8</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25,5</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63,2</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MONO</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34,8</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38,1</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36,4</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OUEME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87,5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62,6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45,7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70,7</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32</w:t>
            </w:r>
          </w:p>
        </w:tc>
      </w:tr>
      <w:tr w:rsidR="002320E0" w:rsidRPr="007576CE" w:rsidTr="00F513AC">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PLATEAU</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87,0</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85,7</w:t>
            </w:r>
          </w:p>
        </w:tc>
        <w:tc>
          <w:tcPr>
            <w:tcW w:w="597"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85,3</w:t>
            </w:r>
          </w:p>
        </w:tc>
        <w:tc>
          <w:tcPr>
            <w:tcW w:w="1045"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25</w:t>
            </w:r>
          </w:p>
        </w:tc>
      </w:tr>
      <w:tr w:rsidR="002320E0" w:rsidRPr="007576CE" w:rsidTr="00F513AC">
        <w:trPr>
          <w:trHeight w:val="300"/>
        </w:trPr>
        <w:tc>
          <w:tcPr>
            <w:tcW w:w="1045" w:type="pct"/>
            <w:tcBorders>
              <w:bottom w:val="single" w:sz="4" w:space="0" w:color="auto"/>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ZOU</w:t>
            </w:r>
          </w:p>
        </w:tc>
        <w:tc>
          <w:tcPr>
            <w:tcW w:w="1044"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100,0</w:t>
            </w:r>
          </w:p>
        </w:tc>
        <w:tc>
          <w:tcPr>
            <w:tcW w:w="449"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61,7</w:t>
            </w:r>
          </w:p>
        </w:tc>
        <w:tc>
          <w:tcPr>
            <w:tcW w:w="820"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52,6</w:t>
            </w:r>
          </w:p>
        </w:tc>
        <w:tc>
          <w:tcPr>
            <w:tcW w:w="597"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49,6</w:t>
            </w:r>
          </w:p>
        </w:tc>
        <w:tc>
          <w:tcPr>
            <w:tcW w:w="1045"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w:t>
            </w:r>
          </w:p>
        </w:tc>
      </w:tr>
      <w:tr w:rsidR="002320E0" w:rsidRPr="007576CE" w:rsidTr="00F513AC">
        <w:trPr>
          <w:trHeight w:val="300"/>
        </w:trPr>
        <w:tc>
          <w:tcPr>
            <w:tcW w:w="1045" w:type="pct"/>
            <w:tcBorders>
              <w:top w:val="single" w:sz="4" w:space="0" w:color="auto"/>
              <w:bottom w:val="double" w:sz="4" w:space="0" w:color="auto"/>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Ensemble</w:t>
            </w:r>
          </w:p>
        </w:tc>
        <w:tc>
          <w:tcPr>
            <w:tcW w:w="1044"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66,2</w:t>
            </w:r>
          </w:p>
        </w:tc>
        <w:tc>
          <w:tcPr>
            <w:tcW w:w="449"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48,1</w:t>
            </w:r>
          </w:p>
        </w:tc>
        <w:tc>
          <w:tcPr>
            <w:tcW w:w="820"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30,2</w:t>
            </w:r>
          </w:p>
        </w:tc>
        <w:tc>
          <w:tcPr>
            <w:tcW w:w="597"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65,4</w:t>
            </w:r>
          </w:p>
        </w:tc>
        <w:tc>
          <w:tcPr>
            <w:tcW w:w="1045"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154</w:t>
            </w:r>
          </w:p>
        </w:tc>
      </w:tr>
      <w:tr w:rsidR="002320E0" w:rsidRPr="007576CE" w:rsidTr="00F513AC">
        <w:tblPrEx>
          <w:tblBorders>
            <w:bottom w:val="none" w:sz="0" w:space="0" w:color="auto"/>
          </w:tblBorders>
        </w:tblPrEx>
        <w:trPr>
          <w:trHeight w:val="369"/>
        </w:trPr>
        <w:tc>
          <w:tcPr>
            <w:tcW w:w="5000" w:type="pct"/>
            <w:gridSpan w:val="6"/>
            <w:tcBorders>
              <w:top w:val="double" w:sz="4" w:space="0" w:color="auto"/>
            </w:tcBorders>
            <w:shd w:val="clear" w:color="auto" w:fill="auto"/>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hAnsi="Trebuchet MS" w:cs="Arial"/>
                <w:b/>
                <w:bCs/>
                <w:color w:val="000000"/>
              </w:rPr>
              <w:t>Source : ECEB, INSAE, 2015</w:t>
            </w:r>
          </w:p>
        </w:tc>
      </w:tr>
    </w:tbl>
    <w:p w:rsidR="009A60C0" w:rsidRPr="001C78EC" w:rsidRDefault="009A60C0" w:rsidP="009A60C0">
      <w:pPr>
        <w:rPr>
          <w:rFonts w:ascii="Trebuchet MS" w:eastAsia="Times New Roman" w:hAnsi="Trebuchet MS"/>
          <w:lang w:eastAsia="fr-FR"/>
        </w:rPr>
      </w:pPr>
    </w:p>
    <w:p w:rsidR="009A60C0" w:rsidRPr="001C78EC" w:rsidRDefault="009A60C0" w:rsidP="009A60C0">
      <w:pPr>
        <w:rPr>
          <w:rFonts w:ascii="Trebuchet MS" w:eastAsia="Times New Roman" w:hAnsi="Trebuchet MS"/>
          <w:lang w:eastAsia="fr-FR"/>
        </w:rPr>
      </w:pPr>
    </w:p>
    <w:p w:rsidR="009A60C0" w:rsidRPr="001C78EC" w:rsidRDefault="009A60C0" w:rsidP="009A60C0">
      <w:pPr>
        <w:rPr>
          <w:rFonts w:ascii="Trebuchet MS" w:eastAsia="Times New Roman" w:hAnsi="Trebuchet MS"/>
          <w:lang w:eastAsia="fr-FR"/>
        </w:rPr>
        <w:sectPr w:rsidR="009A60C0" w:rsidRPr="001C78EC" w:rsidSect="00FF1C88">
          <w:pgSz w:w="11906" w:h="16838"/>
          <w:pgMar w:top="1843" w:right="1417" w:bottom="851" w:left="1417" w:header="708" w:footer="0" w:gutter="0"/>
          <w:cols w:space="708"/>
          <w:docGrid w:linePitch="360"/>
        </w:sectPr>
      </w:pPr>
    </w:p>
    <w:p w:rsidR="0056000A" w:rsidRPr="0072397D" w:rsidRDefault="0056000A" w:rsidP="000F50F6">
      <w:pPr>
        <w:pStyle w:val="Titre2"/>
      </w:pPr>
      <w:bookmarkStart w:id="179" w:name="_Toc426359400"/>
      <w:bookmarkStart w:id="180" w:name="_Toc426359460"/>
      <w:bookmarkEnd w:id="46"/>
      <w:bookmarkEnd w:id="47"/>
      <w:bookmarkEnd w:id="48"/>
      <w:r w:rsidRPr="0072397D">
        <w:t xml:space="preserve">CHAPITRE </w:t>
      </w:r>
      <w:r>
        <w:t>3</w:t>
      </w:r>
      <w:r w:rsidRPr="0072397D">
        <w:t> : ACCES A L’ELECTRICITE ET OPINIONS DES MENAGES SUR LA QUALITE DES SERVICES DE LA SBEE</w:t>
      </w:r>
      <w:bookmarkEnd w:id="179"/>
      <w:bookmarkEnd w:id="180"/>
    </w:p>
    <w:p w:rsidR="00D02C71" w:rsidRDefault="00D02C71" w:rsidP="00FC1C4E">
      <w:pPr>
        <w:tabs>
          <w:tab w:val="right" w:pos="9072"/>
        </w:tabs>
        <w:spacing w:before="240" w:after="0"/>
        <w:jc w:val="both"/>
        <w:rPr>
          <w:rFonts w:ascii="Trebuchet MS" w:hAnsi="Trebuchet MS"/>
        </w:rPr>
      </w:pPr>
    </w:p>
    <w:p w:rsidR="00D02C71" w:rsidRPr="00D02C71" w:rsidRDefault="00D02C71" w:rsidP="00D02C71">
      <w:pPr>
        <w:keepNext/>
        <w:framePr w:dropCap="drop" w:lines="3" w:wrap="around" w:vAnchor="text" w:hAnchor="text"/>
        <w:tabs>
          <w:tab w:val="right" w:pos="9072"/>
        </w:tabs>
        <w:spacing w:before="240" w:after="0" w:line="881" w:lineRule="exact"/>
        <w:jc w:val="both"/>
        <w:textAlignment w:val="baseline"/>
        <w:rPr>
          <w:rFonts w:ascii="Trebuchet MS" w:hAnsi="Trebuchet MS"/>
          <w:position w:val="-9"/>
          <w:sz w:val="105"/>
        </w:rPr>
      </w:pPr>
      <w:r w:rsidRPr="00D02C71">
        <w:rPr>
          <w:rFonts w:ascii="Trebuchet MS" w:hAnsi="Trebuchet MS"/>
          <w:position w:val="-9"/>
          <w:sz w:val="105"/>
        </w:rPr>
        <w:t>P</w:t>
      </w:r>
    </w:p>
    <w:p w:rsidR="0056000A" w:rsidRPr="00505CA9" w:rsidRDefault="0056000A" w:rsidP="00FC1C4E">
      <w:pPr>
        <w:tabs>
          <w:tab w:val="right" w:pos="9072"/>
        </w:tabs>
        <w:spacing w:before="240" w:after="0"/>
        <w:jc w:val="both"/>
        <w:rPr>
          <w:rFonts w:ascii="Trebuchet MS" w:hAnsi="Trebuchet MS"/>
        </w:rPr>
      </w:pPr>
      <w:r w:rsidRPr="00505CA9">
        <w:rPr>
          <w:rFonts w:ascii="Trebuchet MS" w:hAnsi="Trebuchet MS"/>
        </w:rPr>
        <w:t xml:space="preserve">our apprécier les conditions de vie des ménages, plusieurs critères sont souvent mis à contribution. Il s’agit, entre autres, du mode d’aisance, du mode d’évacuation des eaux usées et des ordures ménagères, du mode d’approvisionnement en eau potable ou encore du mode d’éclairage. Les ménages ont </w:t>
      </w:r>
      <w:r>
        <w:rPr>
          <w:rFonts w:ascii="Trebuchet MS" w:hAnsi="Trebuchet MS"/>
        </w:rPr>
        <w:t xml:space="preserve">souvent </w:t>
      </w:r>
      <w:r w:rsidRPr="00505CA9">
        <w:rPr>
          <w:rFonts w:ascii="Trebuchet MS" w:hAnsi="Trebuchet MS"/>
        </w:rPr>
        <w:t>recours à une variété de sources d’énergie parmi lesquelles l’énergie électrique semble être la plus prisée</w:t>
      </w:r>
      <w:r>
        <w:rPr>
          <w:rFonts w:ascii="Trebuchet MS" w:hAnsi="Trebuchet MS"/>
        </w:rPr>
        <w:t xml:space="preserve"> pour l’éclairage de leur milieu de vie</w:t>
      </w:r>
      <w:r w:rsidRPr="00505CA9">
        <w:rPr>
          <w:rFonts w:ascii="Trebuchet MS" w:hAnsi="Trebuchet MS"/>
        </w:rPr>
        <w:t>. Mais quelles sont les conditions dans lesquelles les ménages ont accès à l’énergie électrique ? Qu’en est-il des délais de production de devis et de raccordement au réseau électrique ? Quel est le niveau de consommation d’électricité par les ménages ? Et quelles appréciations font les ménages de la qualité des services de la SBEE ?</w:t>
      </w:r>
    </w:p>
    <w:p w:rsidR="0056000A" w:rsidRPr="00505CA9" w:rsidRDefault="0056000A" w:rsidP="0056000A">
      <w:pPr>
        <w:spacing w:before="240" w:after="0"/>
        <w:rPr>
          <w:rFonts w:ascii="Trebuchet MS" w:hAnsi="Trebuchet MS"/>
        </w:rPr>
      </w:pPr>
      <w:r w:rsidRPr="00505CA9">
        <w:rPr>
          <w:rFonts w:ascii="Trebuchet MS" w:hAnsi="Trebuchet MS"/>
        </w:rPr>
        <w:t>Telles sont autant d’interrogations auxquelles ce chapitre se propose d’apporter quelques éléments d</w:t>
      </w:r>
      <w:r>
        <w:rPr>
          <w:rFonts w:ascii="Trebuchet MS" w:hAnsi="Trebuchet MS"/>
        </w:rPr>
        <w:t>e réponse</w:t>
      </w:r>
      <w:r w:rsidRPr="00505CA9">
        <w:rPr>
          <w:rFonts w:ascii="Trebuchet MS" w:hAnsi="Trebuchet MS"/>
        </w:rPr>
        <w:t>.</w:t>
      </w:r>
    </w:p>
    <w:p w:rsidR="0056000A" w:rsidRPr="0072397D" w:rsidRDefault="0056000A" w:rsidP="0056000A">
      <w:pPr>
        <w:spacing w:after="0"/>
        <w:rPr>
          <w:rFonts w:ascii="Trebuchet MS" w:hAnsi="Trebuchet MS"/>
        </w:rPr>
      </w:pPr>
    </w:p>
    <w:p w:rsidR="0056000A" w:rsidRPr="00D02C71" w:rsidRDefault="00D02C71" w:rsidP="00D02C71">
      <w:pPr>
        <w:pStyle w:val="Titre3"/>
        <w:numPr>
          <w:ilvl w:val="0"/>
          <w:numId w:val="0"/>
        </w:numPr>
      </w:pPr>
      <w:bookmarkStart w:id="181" w:name="_Toc425961650"/>
      <w:bookmarkStart w:id="182" w:name="_Toc426359401"/>
      <w:bookmarkStart w:id="183" w:name="_Toc426359461"/>
      <w:r>
        <w:t xml:space="preserve">3.1. </w:t>
      </w:r>
      <w:r w:rsidRPr="00D02C71">
        <w:t>Niveau</w:t>
      </w:r>
      <w:r w:rsidR="0056000A" w:rsidRPr="00D02C71">
        <w:t xml:space="preserve"> de consommation de l’électricité de la SBEE</w:t>
      </w:r>
      <w:bookmarkEnd w:id="181"/>
      <w:bookmarkEnd w:id="182"/>
      <w:bookmarkEnd w:id="183"/>
    </w:p>
    <w:p w:rsidR="0056000A" w:rsidRPr="0072397D" w:rsidRDefault="00420FB4" w:rsidP="00F03E08">
      <w:pPr>
        <w:pStyle w:val="Titre4"/>
      </w:pPr>
      <w:bookmarkStart w:id="184" w:name="_Toc426359462"/>
      <w:r>
        <w:t xml:space="preserve">3.1.1. </w:t>
      </w:r>
      <w:r w:rsidR="0056000A" w:rsidRPr="0072397D">
        <w:t>Délais de raccordement au réseau</w:t>
      </w:r>
      <w:bookmarkEnd w:id="184"/>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Les formalités à remplir, le montant à payer et les procédures à suivre pour se connecter au réseau électrique constituent des déterminants majeurs du raccordement des ménages au réseau. Plus conditions sont souples et accessibles, plus les ménages sont susceptibles de souscrire à un abonnement à la SBEE. </w:t>
      </w: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t xml:space="preserve">Il ressort des résultats de l’enquête qu’en moyenne le délai de raccordement d’un ménage est de 32,2 semaines soit environ 8 mois. Autrement dit, les ménages enquêtés ont mis en moyenne 3 mois et ½ pour obtenir leur devis après en avoir exprimé la demande et 4 mois et ½ pour se voir raccorder au réseau après avoir payé le montant du devis.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Quelques disparités s’observent lorsque l’on s’intéresse au type de connexion ou encore au milieu de résidence. Ainsi les ménages directement raccordés à la SBEE ont attendu en moyenne pendant plus de 9 mois pour être raccordés ; tandis que les ménages qui s’alimentent sur les « toiles d’araignée » ont attendu 15,3 semaines pour être connectés soit environ 4 mois. En analysant en fonction du milieu de résidence, il se dégage une discrimination en faveur du milieu urbain (39,8 semaines contre 27,6 en milieu rural). S’agissant des départements, les délais les plus longs s’observent dans l’Atacora (53,8), les Collines (51,2) et le Littoral (48,3) pendant que l’Atlantique (19,1) et le Borgou (18,4) affichent les délais de raccordement les plus courts. Il est faut préciser que ces délais n’intègrent pas le temps mis par le ménage pour payer le montant du devis.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sectPr w:rsidR="0056000A" w:rsidRPr="0072397D" w:rsidSect="00FF1C88">
          <w:pgSz w:w="11906" w:h="16838"/>
          <w:pgMar w:top="1843" w:right="1417" w:bottom="851" w:left="1417" w:header="708" w:footer="0" w:gutter="0"/>
          <w:cols w:space="708"/>
          <w:docGrid w:linePitch="360"/>
        </w:sectPr>
      </w:pPr>
    </w:p>
    <w:p w:rsidR="0056000A" w:rsidRPr="00376558" w:rsidRDefault="00376558" w:rsidP="00A250FA">
      <w:pPr>
        <w:pStyle w:val="Lgende"/>
        <w:keepNext/>
        <w:spacing w:after="0"/>
        <w:rPr>
          <w:rFonts w:ascii="Trebuchet MS" w:hAnsi="Trebuchet MS"/>
          <w:szCs w:val="24"/>
        </w:rPr>
      </w:pPr>
      <w:bookmarkStart w:id="185" w:name="_Toc426359352"/>
      <w:r w:rsidRPr="00376558">
        <w:rPr>
          <w:rFonts w:ascii="Trebuchet MS" w:hAnsi="Trebuchet MS"/>
          <w:szCs w:val="24"/>
        </w:rPr>
        <w:t xml:space="preserve">Tableau </w:t>
      </w:r>
      <w:r w:rsidR="00792500" w:rsidRPr="00376558">
        <w:rPr>
          <w:rFonts w:ascii="Trebuchet MS" w:hAnsi="Trebuchet MS"/>
          <w:szCs w:val="24"/>
        </w:rPr>
        <w:fldChar w:fldCharType="begin"/>
      </w:r>
      <w:r w:rsidRPr="00376558">
        <w:rPr>
          <w:rFonts w:ascii="Trebuchet MS" w:hAnsi="Trebuchet MS"/>
          <w:szCs w:val="24"/>
        </w:rPr>
        <w:instrText xml:space="preserve"> SEQ Tableau \* ARABIC </w:instrText>
      </w:r>
      <w:r w:rsidR="00792500" w:rsidRPr="00376558">
        <w:rPr>
          <w:rFonts w:ascii="Trebuchet MS" w:hAnsi="Trebuchet MS"/>
          <w:szCs w:val="24"/>
        </w:rPr>
        <w:fldChar w:fldCharType="separate"/>
      </w:r>
      <w:r w:rsidR="00556962">
        <w:rPr>
          <w:rFonts w:ascii="Trebuchet MS" w:hAnsi="Trebuchet MS"/>
          <w:noProof/>
          <w:szCs w:val="24"/>
        </w:rPr>
        <w:t>33</w:t>
      </w:r>
      <w:r w:rsidR="00792500" w:rsidRPr="00376558">
        <w:rPr>
          <w:rFonts w:ascii="Trebuchet MS" w:hAnsi="Trebuchet MS"/>
          <w:szCs w:val="24"/>
        </w:rPr>
        <w:fldChar w:fldCharType="end"/>
      </w:r>
      <w:r w:rsidRPr="00376558">
        <w:rPr>
          <w:rFonts w:ascii="Trebuchet MS" w:hAnsi="Trebuchet MS"/>
          <w:szCs w:val="24"/>
        </w:rPr>
        <w:t xml:space="preserve"> : </w:t>
      </w:r>
      <w:r w:rsidR="0056000A" w:rsidRPr="00376558">
        <w:rPr>
          <w:rFonts w:ascii="Trebuchet MS" w:hAnsi="Trebuchet MS"/>
          <w:szCs w:val="24"/>
        </w:rPr>
        <w:t>Synthèse d’indicateurs sur le niveau de consommation de l’électricité de la SBEE par les ménages</w:t>
      </w:r>
      <w:bookmarkEnd w:id="185"/>
    </w:p>
    <w:tbl>
      <w:tblPr>
        <w:tblStyle w:val="ENergiemnage"/>
        <w:tblW w:w="4979" w:type="pct"/>
        <w:tblBorders>
          <w:top w:val="double" w:sz="4" w:space="0" w:color="auto"/>
          <w:bottom w:val="double" w:sz="4" w:space="0" w:color="auto"/>
        </w:tblBorders>
        <w:tblLayout w:type="fixed"/>
        <w:tblLook w:val="04A0" w:firstRow="1" w:lastRow="0" w:firstColumn="1" w:lastColumn="0" w:noHBand="0" w:noVBand="1"/>
      </w:tblPr>
      <w:tblGrid>
        <w:gridCol w:w="1971"/>
        <w:gridCol w:w="1107"/>
        <w:gridCol w:w="1173"/>
        <w:gridCol w:w="912"/>
        <w:gridCol w:w="1419"/>
        <w:gridCol w:w="1221"/>
        <w:gridCol w:w="1221"/>
        <w:gridCol w:w="1221"/>
        <w:gridCol w:w="1221"/>
        <w:gridCol w:w="1370"/>
        <w:gridCol w:w="1464"/>
      </w:tblGrid>
      <w:tr w:rsidR="0056000A" w:rsidRPr="00A545C4" w:rsidTr="00376558">
        <w:trPr>
          <w:trHeight w:val="1547"/>
        </w:trPr>
        <w:tc>
          <w:tcPr>
            <w:tcW w:w="689" w:type="pct"/>
            <w:tcBorders>
              <w:top w:val="double" w:sz="4" w:space="0" w:color="auto"/>
              <w:bottom w:val="single" w:sz="4" w:space="0" w:color="auto"/>
            </w:tcBorders>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w:t>
            </w:r>
          </w:p>
        </w:tc>
        <w:tc>
          <w:tcPr>
            <w:tcW w:w="38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semaines entre la demande et l'obtention du devis</w:t>
            </w:r>
          </w:p>
        </w:tc>
        <w:tc>
          <w:tcPr>
            <w:tcW w:w="410"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semaines entre le paiement et le raccordement</w:t>
            </w:r>
          </w:p>
        </w:tc>
        <w:tc>
          <w:tcPr>
            <w:tcW w:w="319"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Durée totale de raccordement</w:t>
            </w:r>
          </w:p>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(en semaines)</w:t>
            </w:r>
          </w:p>
        </w:tc>
        <w:tc>
          <w:tcPr>
            <w:tcW w:w="496"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jours couverts par la dernière facture d'électricité</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minimale d'électricité consommée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d'électricité consommée par mois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maximale d'électricité consommée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annuelle d'électricité consommée par ménage (en KWh)</w:t>
            </w:r>
          </w:p>
        </w:tc>
        <w:tc>
          <w:tcPr>
            <w:tcW w:w="479"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jours de réception de l'électricité par les ménages par mois</w:t>
            </w:r>
          </w:p>
        </w:tc>
        <w:tc>
          <w:tcPr>
            <w:tcW w:w="512"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Durée moyenne</w:t>
            </w:r>
            <w:r w:rsidR="00656C57">
              <w:rPr>
                <w:rFonts w:ascii="Trebuchet MS" w:eastAsia="Times New Roman" w:hAnsi="Trebuchet MS" w:cs="Calibri"/>
                <w:color w:val="000000"/>
                <w:sz w:val="18"/>
                <w:szCs w:val="20"/>
                <w:lang w:eastAsia="fr-FR"/>
              </w:rPr>
              <w:t xml:space="preserve"> journalière</w:t>
            </w:r>
            <w:r w:rsidRPr="00376558">
              <w:rPr>
                <w:rFonts w:ascii="Trebuchet MS" w:eastAsia="Times New Roman" w:hAnsi="Trebuchet MS" w:cs="Calibri"/>
                <w:color w:val="000000"/>
                <w:sz w:val="18"/>
                <w:szCs w:val="20"/>
                <w:lang w:eastAsia="fr-FR"/>
              </w:rPr>
              <w:t xml:space="preserve"> de réception de l'électricité par les ménages le mois passé</w:t>
            </w:r>
          </w:p>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(en heures)</w:t>
            </w:r>
          </w:p>
        </w:tc>
      </w:tr>
      <w:tr w:rsidR="0056000A" w:rsidRPr="00376558" w:rsidTr="00B12BA8">
        <w:trPr>
          <w:trHeight w:val="266"/>
        </w:trPr>
        <w:tc>
          <w:tcPr>
            <w:tcW w:w="68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19"/>
                <w:szCs w:val="19"/>
                <w:lang w:eastAsia="fr-FR"/>
              </w:rPr>
            </w:pPr>
            <w:r w:rsidRPr="00376558">
              <w:rPr>
                <w:rFonts w:ascii="Trebuchet MS" w:eastAsia="Times New Roman" w:hAnsi="Trebuchet MS" w:cs="Calibri"/>
                <w:b/>
                <w:color w:val="000000"/>
                <w:sz w:val="19"/>
                <w:szCs w:val="19"/>
                <w:lang w:eastAsia="fr-FR"/>
              </w:rPr>
              <w:t>Milieu de résidence</w:t>
            </w:r>
          </w:p>
        </w:tc>
        <w:tc>
          <w:tcPr>
            <w:tcW w:w="38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10"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31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96"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7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512"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Urbain</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11,9</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15,7</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27,6</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1104</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Rural</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16,9</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22,9</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39,8</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Ensemble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13,8</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1045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376558" w:rsidRDefault="0056000A" w:rsidP="00A250FA">
            <w:pPr>
              <w:keepNext/>
              <w:spacing w:after="0" w:line="240" w:lineRule="auto"/>
              <w:rPr>
                <w:rFonts w:ascii="Trebuchet MS" w:eastAsia="Times New Roman" w:hAnsi="Trebuchet MS" w:cs="Calibri"/>
                <w:b/>
                <w:color w:val="000000"/>
                <w:sz w:val="19"/>
                <w:szCs w:val="19"/>
                <w:lang w:eastAsia="fr-FR"/>
              </w:rPr>
            </w:pPr>
            <w:r w:rsidRPr="00376558">
              <w:rPr>
                <w:rFonts w:ascii="Trebuchet MS" w:eastAsia="Times New Roman" w:hAnsi="Trebuchet MS" w:cs="Calibri"/>
                <w:b/>
                <w:color w:val="000000"/>
                <w:sz w:val="19"/>
                <w:szCs w:val="19"/>
                <w:lang w:eastAsia="fr-FR"/>
              </w:rPr>
              <w:t>Type de connexion</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Ligne directe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21,6</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37,1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1133</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Ligne sous-traitée</w:t>
            </w:r>
          </w:p>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(toile d'araignée)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6,9</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15,3</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590</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Ensemble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13,8</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1045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376558" w:rsidRDefault="0056000A" w:rsidP="00A250FA">
            <w:pPr>
              <w:keepNext/>
              <w:spacing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Département de résidence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ALIBORI</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6,7</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1175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ATACORA</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33,7</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20,0</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53,8</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774</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ATLANTIQUE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1051</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23</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BORGOU</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10,1</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8,3</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888</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COLLINES</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35,8</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882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COUFFO</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778</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DONGA</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20,8</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30,0</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1029</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LITTORAL</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20,1</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28,2</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48,3</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1292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MONO</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6,5</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23,6</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791</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OUEME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9,6</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18,6</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1215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PLATEAU</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24,4</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1115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tcBorders>
              <w:bottom w:val="single" w:sz="4" w:space="0" w:color="auto"/>
            </w:tcBorders>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ZOU</w:t>
            </w:r>
          </w:p>
        </w:tc>
        <w:tc>
          <w:tcPr>
            <w:tcW w:w="38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11,7</w:t>
            </w:r>
          </w:p>
        </w:tc>
        <w:tc>
          <w:tcPr>
            <w:tcW w:w="410"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21,2</w:t>
            </w:r>
          </w:p>
        </w:tc>
        <w:tc>
          <w:tcPr>
            <w:tcW w:w="319"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32,9</w:t>
            </w:r>
          </w:p>
        </w:tc>
        <w:tc>
          <w:tcPr>
            <w:tcW w:w="496"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30,8</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65</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761</w:t>
            </w:r>
          </w:p>
        </w:tc>
        <w:tc>
          <w:tcPr>
            <w:tcW w:w="479"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w:t>
            </w:r>
          </w:p>
        </w:tc>
        <w:tc>
          <w:tcPr>
            <w:tcW w:w="512"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tcBorders>
              <w:top w:val="single" w:sz="4" w:space="0" w:color="auto"/>
              <w:bottom w:val="double" w:sz="4" w:space="0" w:color="auto"/>
            </w:tcBorders>
            <w:noWrap/>
            <w:hideMark/>
          </w:tcPr>
          <w:p w:rsidR="0056000A" w:rsidRPr="00376558" w:rsidRDefault="0056000A" w:rsidP="00A250FA">
            <w:pPr>
              <w:keepNext/>
              <w:spacing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xml:space="preserve">   Ensemble</w:t>
            </w:r>
          </w:p>
        </w:tc>
        <w:tc>
          <w:tcPr>
            <w:tcW w:w="38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13,8</w:t>
            </w:r>
          </w:p>
        </w:tc>
        <w:tc>
          <w:tcPr>
            <w:tcW w:w="410"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18,4</w:t>
            </w:r>
          </w:p>
        </w:tc>
        <w:tc>
          <w:tcPr>
            <w:tcW w:w="319"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32,2</w:t>
            </w:r>
          </w:p>
        </w:tc>
        <w:tc>
          <w:tcPr>
            <w:tcW w:w="496"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29,9</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57</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84</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142</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1045</w:t>
            </w:r>
          </w:p>
        </w:tc>
        <w:tc>
          <w:tcPr>
            <w:tcW w:w="479"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25</w:t>
            </w:r>
          </w:p>
        </w:tc>
        <w:tc>
          <w:tcPr>
            <w:tcW w:w="512"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18</w:t>
            </w:r>
          </w:p>
        </w:tc>
      </w:tr>
    </w:tbl>
    <w:p w:rsidR="0056000A" w:rsidRPr="0072397D" w:rsidRDefault="0056000A" w:rsidP="00A250FA">
      <w:pPr>
        <w:keepNext/>
        <w:tabs>
          <w:tab w:val="right" w:pos="9072"/>
        </w:tabs>
        <w:spacing w:after="0"/>
        <w:jc w:val="both"/>
        <w:rPr>
          <w:rFonts w:ascii="Trebuchet MS" w:hAnsi="Trebuchet MS"/>
          <w:b/>
          <w:sz w:val="20"/>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w:t>
      </w:r>
      <w:r>
        <w:rPr>
          <w:rFonts w:ascii="Trebuchet MS" w:hAnsi="Trebuchet MS"/>
          <w:b/>
          <w:sz w:val="20"/>
          <w:szCs w:val="24"/>
        </w:rPr>
        <w:t xml:space="preserve">, </w:t>
      </w:r>
      <w:r w:rsidRPr="0072397D">
        <w:rPr>
          <w:rFonts w:ascii="Trebuchet MS" w:hAnsi="Trebuchet MS"/>
          <w:b/>
          <w:sz w:val="20"/>
          <w:szCs w:val="24"/>
        </w:rPr>
        <w:t>2015</w:t>
      </w:r>
    </w:p>
    <w:p w:rsidR="0056000A" w:rsidRPr="0072397D" w:rsidRDefault="0056000A" w:rsidP="0056000A">
      <w:pPr>
        <w:tabs>
          <w:tab w:val="right" w:pos="9072"/>
        </w:tabs>
        <w:spacing w:after="0"/>
        <w:jc w:val="both"/>
        <w:rPr>
          <w:rFonts w:ascii="Trebuchet MS" w:hAnsi="Trebuchet MS"/>
          <w:sz w:val="24"/>
          <w:szCs w:val="24"/>
        </w:rPr>
        <w:sectPr w:rsidR="0056000A" w:rsidRPr="0072397D" w:rsidSect="0095625F">
          <w:pgSz w:w="16838" w:h="11906" w:orient="landscape"/>
          <w:pgMar w:top="993" w:right="851" w:bottom="993" w:left="1843" w:header="708" w:footer="0" w:gutter="0"/>
          <w:cols w:space="708"/>
          <w:docGrid w:linePitch="360"/>
        </w:sectPr>
      </w:pP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t xml:space="preserve">Le délai moyen de raccordement des ménages à la ligne directe de la SBEE est de loin supérieur aux délais prévus par la SBEE et qui sont parfois liés aux spécificités du branchement demandé. Le délai de raccordement prévu par la note de service </w:t>
      </w:r>
      <w:r w:rsidRPr="00167492">
        <w:rPr>
          <w:rFonts w:ascii="Trebuchet MS" w:hAnsi="Trebuchet MS"/>
          <w:color w:val="FF0000"/>
        </w:rPr>
        <w:t>N°116/94/DG/DAC/DCF du 23/02/94</w:t>
      </w:r>
      <w:r w:rsidRPr="00167492">
        <w:rPr>
          <w:rFonts w:ascii="Trebuchet MS" w:hAnsi="Trebuchet MS"/>
        </w:rPr>
        <w:t xml:space="preserve"> est de 1 mois après payement sauf cas de perturbation importante sur le réseau. Pour un abonnement prépayé le délai pour l’établissement de devis est de 05 jours ouvrables</w:t>
      </w:r>
      <w:r w:rsidRPr="00167492">
        <w:rPr>
          <w:rStyle w:val="Appelnotedebasdep"/>
          <w:rFonts w:ascii="Trebuchet MS" w:hAnsi="Trebuchet MS"/>
        </w:rPr>
        <w:footnoteReference w:id="1"/>
      </w:r>
      <w:r w:rsidRPr="00167492">
        <w:rPr>
          <w:rFonts w:ascii="Trebuchet MS" w:hAnsi="Trebuchet MS"/>
        </w:rPr>
        <w:t xml:space="preserve">.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CA5211" w:rsidP="00F03E08">
      <w:pPr>
        <w:pStyle w:val="Titre4"/>
      </w:pPr>
      <w:bookmarkStart w:id="186" w:name="_Toc426359463"/>
      <w:r>
        <w:t xml:space="preserve">3.1.2. </w:t>
      </w:r>
      <w:r w:rsidR="0056000A" w:rsidRPr="0072397D">
        <w:t>Consommation d’électricité par les ménages</w:t>
      </w:r>
      <w:bookmarkEnd w:id="186"/>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L’enquête sur la consommation d’électricité au Bénin révèle qu’en moyenne, les ménages consomment au minimum 57 KWh d’électricité par mois et au maximum 142 KWh. La quantité moyenne de KWh consommée par ménage est de 84 KWh. On note cependant quelques disparités selon le profil des ménages.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effet, les ménages installés en milieu urbain consomment en moyenne 15% plus d’électricité que ceux du milieu rural et les ménages directement raccordés consomment en moyenne 1,8 fois plus d’électricité que ceux qui sont raccordé aux « toiles d’araignée ». Ceci pourrait se justifier par le fait que les ménages sous-traitants, du fait de leur statut, limitent leur niveau de consommation à la satisfaction de leurs besoins essentiels. Ils sont souvent plusieurs ménages à être connecté au même compteur, ce qui réduit la puissance venant de la source d’alimentation. Ces ménages sont donc contraints à réduire leur demande d’électricité et s’abstiennent par la même occasion d’investir dans des équipements électriques susceptibles d’accroître leur niveau de consommation. Par contre, les ménages directement raccordés à la SBEE ont, dans les limites de leur revenu, la liberté de s’offrir la consommation d’électricité nécessaire à la satisfaction de leur besoin.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s’intéressant au département de résidence, on note que les quantités moyennes d’électricité consommées dans les départements de l’Alibori (103 KWh) et de l’Ouémé (101 KWh) contrastent avec celles du Couffo (62 KWh) et des collines (73 KWh) qui sont les les plus faibles.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Les consommations moyennes d’électricité obtenues proviennent de l’observation du dernier mois de facture disponible dans le ménage. Ces factures portent en moyenne sur 30 jours de consommation même si les ménages estiment qu’au cours du mois précédent l’enquête, ils n’ont reçu l’énergie électrique que pendant 25 jours et pendant 18 heures par jour en moyenne.</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Une autre leçon importante tirée de l’enquête est que le délai total de raccordement d’un ménage semble être lié à son niveau de revenu. En d’autres termes, le délai total de raccordement, qui regroupe le délai de production du devis et le délai de raccordement au réseau, est inversement proportionnel au niveau de revenu. Ainsi, plus le revenu du ménage est élevé, plus le délai de raccordement au réseau électrique a tendance à être court comme le montre l’allure de la courbe en traits discontinus du graphique ci-dessous. Contrairement au délai de raccordement, la quantité d’électricité consommée semble être proportionnelle au niveau de revenu du ménage. Autrement dit, la quantité d’électricité consommée augmente avec le revenu du ménage. Ceci pourrait se justifier par le fait que, plus le ménage est aisé, plus il a la capacité de s’offrir des appareils et/ou équipements domestiques susceptibles d’accroître son bien-être ; ce qui n’est pas sans conséquence sur son niveau de consommation d’électricité. </w:t>
      </w:r>
    </w:p>
    <w:p w:rsidR="0056000A" w:rsidRPr="00044176" w:rsidRDefault="00044176" w:rsidP="00044176">
      <w:pPr>
        <w:pStyle w:val="Lgende"/>
        <w:keepNext/>
        <w:spacing w:after="0"/>
        <w:rPr>
          <w:rFonts w:ascii="Trebuchet MS" w:hAnsi="Trebuchet MS"/>
          <w:sz w:val="24"/>
          <w:szCs w:val="24"/>
        </w:rPr>
      </w:pPr>
      <w:bookmarkStart w:id="187" w:name="_Toc426359263"/>
      <w:r w:rsidRPr="00044176">
        <w:rPr>
          <w:rFonts w:ascii="Trebuchet MS" w:hAnsi="Trebuchet MS"/>
          <w:szCs w:val="24"/>
        </w:rPr>
        <w:t xml:space="preserve">Graphique </w:t>
      </w:r>
      <w:r w:rsidR="00792500" w:rsidRPr="00044176">
        <w:rPr>
          <w:rFonts w:ascii="Trebuchet MS" w:hAnsi="Trebuchet MS"/>
          <w:szCs w:val="24"/>
        </w:rPr>
        <w:fldChar w:fldCharType="begin"/>
      </w:r>
      <w:r w:rsidRPr="00044176">
        <w:rPr>
          <w:rFonts w:ascii="Trebuchet MS" w:hAnsi="Trebuchet MS"/>
          <w:szCs w:val="24"/>
        </w:rPr>
        <w:instrText xml:space="preserve"> SEQ Graphique \* ARABIC </w:instrText>
      </w:r>
      <w:r w:rsidR="00792500" w:rsidRPr="00044176">
        <w:rPr>
          <w:rFonts w:ascii="Trebuchet MS" w:hAnsi="Trebuchet MS"/>
          <w:szCs w:val="24"/>
        </w:rPr>
        <w:fldChar w:fldCharType="separate"/>
      </w:r>
      <w:r w:rsidR="00605DE4">
        <w:rPr>
          <w:rFonts w:ascii="Trebuchet MS" w:hAnsi="Trebuchet MS"/>
          <w:noProof/>
          <w:szCs w:val="24"/>
        </w:rPr>
        <w:t>9</w:t>
      </w:r>
      <w:r w:rsidR="00792500" w:rsidRPr="00044176">
        <w:rPr>
          <w:rFonts w:ascii="Trebuchet MS" w:hAnsi="Trebuchet MS"/>
          <w:szCs w:val="24"/>
        </w:rPr>
        <w:fldChar w:fldCharType="end"/>
      </w:r>
      <w:r w:rsidRPr="00044176">
        <w:rPr>
          <w:rFonts w:ascii="Trebuchet MS" w:hAnsi="Trebuchet MS"/>
          <w:szCs w:val="24"/>
        </w:rPr>
        <w:t xml:space="preserve"> : </w:t>
      </w:r>
      <w:r w:rsidR="0056000A" w:rsidRPr="00044176">
        <w:rPr>
          <w:rFonts w:ascii="Trebuchet MS" w:hAnsi="Trebuchet MS"/>
          <w:szCs w:val="24"/>
        </w:rPr>
        <w:t>Délais de raccordement et consommation d’électricité en fonction du revenu</w:t>
      </w:r>
      <w:bookmarkEnd w:id="187"/>
    </w:p>
    <w:p w:rsidR="0056000A" w:rsidRPr="0072397D" w:rsidRDefault="0056000A" w:rsidP="00044176">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629150" cy="2647950"/>
            <wp:effectExtent l="0" t="0" r="19050" b="19050"/>
            <wp:docPr id="18" name="Graphique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6000A" w:rsidRPr="0072397D" w:rsidRDefault="0056000A" w:rsidP="00044176">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CA5211" w:rsidP="00CA5211">
      <w:pPr>
        <w:pStyle w:val="Titre3"/>
        <w:numPr>
          <w:ilvl w:val="0"/>
          <w:numId w:val="0"/>
        </w:numPr>
        <w:ind w:left="720" w:hanging="720"/>
      </w:pPr>
      <w:bookmarkStart w:id="188" w:name="_Toc426359402"/>
      <w:bookmarkStart w:id="189" w:name="_Toc426359464"/>
      <w:r>
        <w:t>3</w:t>
      </w:r>
      <w:r w:rsidR="0056000A" w:rsidRPr="0072397D">
        <w:t>.2</w:t>
      </w:r>
      <w:r w:rsidR="008D7AC0" w:rsidRPr="0072397D">
        <w:t>. Facturation</w:t>
      </w:r>
      <w:r w:rsidR="0056000A" w:rsidRPr="0072397D">
        <w:t xml:space="preserve"> de la consommation d’électricité</w:t>
      </w:r>
      <w:bookmarkEnd w:id="188"/>
      <w:bookmarkEnd w:id="189"/>
    </w:p>
    <w:p w:rsidR="0056000A" w:rsidRPr="0072397D" w:rsidRDefault="00CA5211" w:rsidP="00F03E08">
      <w:pPr>
        <w:pStyle w:val="Titre4"/>
      </w:pPr>
      <w:bookmarkStart w:id="190" w:name="_Toc426359465"/>
      <w:r>
        <w:t>3</w:t>
      </w:r>
      <w:r w:rsidR="0056000A" w:rsidRPr="0072397D">
        <w:t>.2.1. Mode de paiement des factures</w:t>
      </w:r>
      <w:bookmarkEnd w:id="190"/>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La majorité (57,9%) des ménages enquêtés paient leur consommation d’électricité sur facturation de la SBEE ou de la CEB. Une proportion bien moindre, c’est-à-dire 1 ménage sur 5 paye sa consommation d’électricité à un tiers sans recevoir de reçu en échange. Ce mode de paiement est souvent basé sur un contrat verbal ayant pour socle les relations de confiance entre les contractants mais qui pourrait donner lieu à des contestations. On note également que 11,2% des ménages ont opté pour le système de consommation prépayée.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Le mode de paiement des factures utilisé par un ménage dépend du type de connexion auquel il a souscrit. En effet, 8 ménages directement raccordés sur 10 s’acquittent de leur frais de consommation d’électricité, sur facturation de la SBEE. La consommation prépayée (13,5%) constitue le second mode de paiement utilisé par ces ménages. A l’opposé, les ménages raccordés aux « toiles d’araignée » paient en majorité (52,7%) leur consommation d’électricité à des tiers sans recevoir de reçus en retour. Les autres ménages « toile d’araignée » paient leur facture sur facturation de la SBEE ou de la CEB (19,1%) ou à des tiers contre reçus (13,3%).</w:t>
      </w:r>
    </w:p>
    <w:p w:rsidR="0056000A" w:rsidRPr="00167492" w:rsidRDefault="0056000A" w:rsidP="0056000A">
      <w:pPr>
        <w:tabs>
          <w:tab w:val="right" w:pos="9072"/>
        </w:tabs>
        <w:spacing w:after="0"/>
        <w:jc w:val="both"/>
        <w:rPr>
          <w:rFonts w:ascii="Trebuchet MS" w:hAnsi="Trebuchet MS"/>
        </w:rPr>
      </w:pPr>
    </w:p>
    <w:p w:rsidR="0056000A" w:rsidRPr="0047412F" w:rsidRDefault="0047412F" w:rsidP="0047412F">
      <w:pPr>
        <w:pStyle w:val="Lgende"/>
        <w:keepNext/>
        <w:rPr>
          <w:rFonts w:ascii="Trebuchet MS" w:eastAsia="Times New Roman" w:hAnsi="Trebuchet MS" w:cs="Calibri"/>
          <w:color w:val="000000"/>
          <w:lang w:eastAsia="fr-FR"/>
        </w:rPr>
      </w:pPr>
      <w:bookmarkStart w:id="191" w:name="_Toc426359353"/>
      <w:r w:rsidRPr="0047412F">
        <w:rPr>
          <w:rFonts w:ascii="Trebuchet MS" w:eastAsia="Times New Roman" w:hAnsi="Trebuchet MS" w:cs="Calibri"/>
          <w:color w:val="000000"/>
          <w:lang w:eastAsia="fr-FR"/>
        </w:rPr>
        <w:t xml:space="preserve">Tableau </w:t>
      </w:r>
      <w:r w:rsidR="00792500" w:rsidRPr="0047412F">
        <w:rPr>
          <w:rFonts w:ascii="Trebuchet MS" w:eastAsia="Times New Roman" w:hAnsi="Trebuchet MS" w:cs="Calibri"/>
          <w:color w:val="000000"/>
          <w:lang w:eastAsia="fr-FR"/>
        </w:rPr>
        <w:fldChar w:fldCharType="begin"/>
      </w:r>
      <w:r w:rsidRPr="0047412F">
        <w:rPr>
          <w:rFonts w:ascii="Trebuchet MS" w:eastAsia="Times New Roman" w:hAnsi="Trebuchet MS" w:cs="Calibri"/>
          <w:color w:val="000000"/>
          <w:lang w:eastAsia="fr-FR"/>
        </w:rPr>
        <w:instrText xml:space="preserve"> SEQ Tableau \* ARABIC </w:instrText>
      </w:r>
      <w:r w:rsidR="00792500" w:rsidRPr="0047412F">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34</w:t>
      </w:r>
      <w:r w:rsidR="00792500" w:rsidRPr="0047412F">
        <w:rPr>
          <w:rFonts w:ascii="Trebuchet MS" w:eastAsia="Times New Roman" w:hAnsi="Trebuchet MS" w:cs="Calibri"/>
          <w:color w:val="000000"/>
          <w:lang w:eastAsia="fr-FR"/>
        </w:rPr>
        <w:fldChar w:fldCharType="end"/>
      </w:r>
      <w:r w:rsidRPr="0047412F">
        <w:rPr>
          <w:rFonts w:ascii="Trebuchet MS" w:eastAsia="Times New Roman" w:hAnsi="Trebuchet MS" w:cs="Calibri"/>
          <w:color w:val="000000"/>
          <w:lang w:eastAsia="fr-FR"/>
        </w:rPr>
        <w:t xml:space="preserve"> : </w:t>
      </w:r>
      <w:r w:rsidR="0056000A" w:rsidRPr="0047412F">
        <w:rPr>
          <w:rFonts w:ascii="Trebuchet MS" w:eastAsia="Times New Roman" w:hAnsi="Trebuchet MS" w:cs="Calibri"/>
          <w:color w:val="000000"/>
          <w:lang w:eastAsia="fr-FR"/>
        </w:rPr>
        <w:t>Modes de paiement des factures par le ménage</w:t>
      </w:r>
      <w:bookmarkEnd w:id="191"/>
    </w:p>
    <w:tbl>
      <w:tblPr>
        <w:tblStyle w:val="ENergiemnage"/>
        <w:tblW w:w="9358" w:type="dxa"/>
        <w:tblBorders>
          <w:top w:val="double" w:sz="4" w:space="0" w:color="auto"/>
          <w:bottom w:val="double" w:sz="4" w:space="0" w:color="auto"/>
        </w:tblBorders>
        <w:tblLook w:val="04A0" w:firstRow="1" w:lastRow="0" w:firstColumn="1" w:lastColumn="0" w:noHBand="0" w:noVBand="1"/>
      </w:tblPr>
      <w:tblGrid>
        <w:gridCol w:w="3838"/>
        <w:gridCol w:w="890"/>
        <w:gridCol w:w="950"/>
        <w:gridCol w:w="890"/>
        <w:gridCol w:w="950"/>
        <w:gridCol w:w="890"/>
        <w:gridCol w:w="950"/>
      </w:tblGrid>
      <w:tr w:rsidR="0056000A" w:rsidRPr="00A545C4" w:rsidTr="00B12BA8">
        <w:trPr>
          <w:trHeight w:val="262"/>
        </w:trPr>
        <w:tc>
          <w:tcPr>
            <w:tcW w:w="3838" w:type="dxa"/>
            <w:vMerge w:val="restart"/>
            <w:tcBorders>
              <w:top w:val="double" w:sz="4" w:space="0" w:color="auto"/>
              <w:bottom w:val="nil"/>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Libellé des modes de paiement</w:t>
            </w:r>
          </w:p>
        </w:tc>
        <w:tc>
          <w:tcPr>
            <w:tcW w:w="3680" w:type="dxa"/>
            <w:gridSpan w:val="4"/>
            <w:tcBorders>
              <w:top w:val="doub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Type de connexion</w:t>
            </w:r>
          </w:p>
        </w:tc>
        <w:tc>
          <w:tcPr>
            <w:tcW w:w="1840" w:type="dxa"/>
            <w:gridSpan w:val="2"/>
            <w:vMerge w:val="restart"/>
            <w:tcBorders>
              <w:top w:val="double" w:sz="4" w:space="0" w:color="auto"/>
              <w:bottom w:val="single" w:sz="4" w:space="0" w:color="auto"/>
            </w:tcBorders>
            <w:noWrap/>
            <w:vAlign w:val="center"/>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Ensemble</w:t>
            </w:r>
          </w:p>
        </w:tc>
      </w:tr>
      <w:tr w:rsidR="0056000A" w:rsidRPr="00A545C4" w:rsidTr="00B12BA8">
        <w:trPr>
          <w:trHeight w:val="262"/>
        </w:trPr>
        <w:tc>
          <w:tcPr>
            <w:tcW w:w="3838" w:type="dxa"/>
            <w:vMerge/>
            <w:tcBorders>
              <w:top w:val="nil"/>
              <w:bottom w:val="nil"/>
            </w:tcBorders>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p>
        </w:tc>
        <w:tc>
          <w:tcPr>
            <w:tcW w:w="1840" w:type="dxa"/>
            <w:gridSpan w:val="2"/>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Ligne directe</w:t>
            </w:r>
          </w:p>
        </w:tc>
        <w:tc>
          <w:tcPr>
            <w:tcW w:w="1840" w:type="dxa"/>
            <w:gridSpan w:val="2"/>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Toile d'araignée</w:t>
            </w:r>
          </w:p>
        </w:tc>
        <w:tc>
          <w:tcPr>
            <w:tcW w:w="1840" w:type="dxa"/>
            <w:gridSpan w:val="2"/>
            <w:vMerge/>
            <w:tcBorders>
              <w:top w:val="nil"/>
              <w:bottom w:val="single" w:sz="4" w:space="0" w:color="auto"/>
            </w:tcBorders>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2"/>
        </w:trPr>
        <w:tc>
          <w:tcPr>
            <w:tcW w:w="3838" w:type="dxa"/>
            <w:vMerge/>
            <w:tcBorders>
              <w:top w:val="nil"/>
              <w:bottom w:val="single" w:sz="4" w:space="0" w:color="auto"/>
            </w:tcBorders>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r>
      <w:tr w:rsidR="0056000A" w:rsidRPr="00A545C4" w:rsidTr="00B12BA8">
        <w:trPr>
          <w:trHeight w:val="262"/>
        </w:trPr>
        <w:tc>
          <w:tcPr>
            <w:tcW w:w="3838" w:type="dxa"/>
            <w:tcBorders>
              <w:top w:val="sing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Sur facturation de la SBEE ou de la CEB</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678</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79,0</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89</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19,1</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767</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57,9</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Consommation prépayée</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116</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13,5</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7,1</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149</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11,2</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Paiement à un tiers contre reçu</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62</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5,5</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Paiement à un tiers sans reçu</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246</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52,7</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19,8</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Autre (à préciser)</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0,3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2"/>
        </w:trPr>
        <w:tc>
          <w:tcPr>
            <w:tcW w:w="3838" w:type="dxa"/>
            <w:tcBorders>
              <w:bottom w:val="sing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Non déclaré</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3,8</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3,5</w:t>
            </w:r>
          </w:p>
        </w:tc>
      </w:tr>
      <w:tr w:rsidR="0056000A" w:rsidRPr="00A545C4" w:rsidTr="00B12BA8">
        <w:trPr>
          <w:trHeight w:val="262"/>
        </w:trPr>
        <w:tc>
          <w:tcPr>
            <w:tcW w:w="3838" w:type="dxa"/>
            <w:tcBorders>
              <w:top w:val="single" w:sz="4" w:space="0" w:color="auto"/>
              <w:bottom w:val="doub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858</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467</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1325</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r>
    </w:tbl>
    <w:p w:rsidR="0056000A" w:rsidRPr="0072397D" w:rsidRDefault="0056000A" w:rsidP="0047412F">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ce qui concerne les paiements aux tiers, ils se font principalement (50,6%) en fonction du nombre d’ampoules et de prises. Le second mode de règlement est lié à la quantité de KWh consommée par le ménage. Il est utilisé par 36,9% des ménages payant leur facture à des tiers et nécessite le recours à un système de quantification de la consommation de chaque ménage. Les équipements souvent utilisés pour l’évaluation de la consommation d’électricité par ménage sont les décompteurs. </w:t>
      </w: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t xml:space="preserve">On note également l’existence de quelques ménages (1,2%) dont les frais d’électricité sont inclus dans le loyer.  </w:t>
      </w:r>
    </w:p>
    <w:p w:rsidR="0056000A" w:rsidRPr="0072397D" w:rsidRDefault="0056000A" w:rsidP="0056000A">
      <w:pPr>
        <w:tabs>
          <w:tab w:val="right" w:pos="9072"/>
        </w:tabs>
        <w:spacing w:after="0"/>
        <w:jc w:val="both"/>
        <w:rPr>
          <w:rFonts w:ascii="Trebuchet MS" w:hAnsi="Trebuchet MS"/>
          <w:sz w:val="24"/>
          <w:szCs w:val="24"/>
        </w:rPr>
      </w:pPr>
    </w:p>
    <w:p w:rsidR="0056000A" w:rsidRPr="00E45267" w:rsidRDefault="00E45267" w:rsidP="00E45267">
      <w:pPr>
        <w:pStyle w:val="Lgende"/>
        <w:keepNext/>
        <w:spacing w:after="0" w:line="240" w:lineRule="auto"/>
        <w:rPr>
          <w:rFonts w:ascii="Trebuchet MS" w:eastAsia="Times New Roman" w:hAnsi="Trebuchet MS" w:cs="Calibri"/>
          <w:bCs w:val="0"/>
          <w:color w:val="000000"/>
          <w:lang w:eastAsia="fr-FR"/>
        </w:rPr>
      </w:pPr>
      <w:bookmarkStart w:id="192" w:name="_Toc426359354"/>
      <w:r w:rsidRPr="00E45267">
        <w:rPr>
          <w:rFonts w:ascii="Trebuchet MS" w:eastAsia="Times New Roman" w:hAnsi="Trebuchet MS" w:cs="Calibri"/>
          <w:bCs w:val="0"/>
          <w:color w:val="000000"/>
          <w:lang w:eastAsia="fr-FR"/>
        </w:rPr>
        <w:t xml:space="preserve">Tableau </w:t>
      </w:r>
      <w:r w:rsidR="00792500" w:rsidRPr="00E45267">
        <w:rPr>
          <w:rFonts w:ascii="Trebuchet MS" w:eastAsia="Times New Roman" w:hAnsi="Trebuchet MS" w:cs="Calibri"/>
          <w:bCs w:val="0"/>
          <w:color w:val="000000"/>
          <w:lang w:eastAsia="fr-FR"/>
        </w:rPr>
        <w:fldChar w:fldCharType="begin"/>
      </w:r>
      <w:r w:rsidRPr="00E45267">
        <w:rPr>
          <w:rFonts w:ascii="Trebuchet MS" w:eastAsia="Times New Roman" w:hAnsi="Trebuchet MS" w:cs="Calibri"/>
          <w:bCs w:val="0"/>
          <w:color w:val="000000"/>
          <w:lang w:eastAsia="fr-FR"/>
        </w:rPr>
        <w:instrText xml:space="preserve"> SEQ Tableau \* ARABIC </w:instrText>
      </w:r>
      <w:r w:rsidR="00792500" w:rsidRPr="00E45267">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35</w:t>
      </w:r>
      <w:r w:rsidR="00792500" w:rsidRPr="00E45267">
        <w:rPr>
          <w:rFonts w:ascii="Trebuchet MS" w:eastAsia="Times New Roman" w:hAnsi="Trebuchet MS" w:cs="Calibri"/>
          <w:bCs w:val="0"/>
          <w:color w:val="000000"/>
          <w:lang w:eastAsia="fr-FR"/>
        </w:rPr>
        <w:fldChar w:fldCharType="end"/>
      </w:r>
      <w:r w:rsidRPr="00E45267">
        <w:rPr>
          <w:rFonts w:ascii="Trebuchet MS" w:eastAsia="Times New Roman" w:hAnsi="Trebuchet MS" w:cs="Calibri"/>
          <w:bCs w:val="0"/>
          <w:color w:val="000000"/>
          <w:lang w:eastAsia="fr-FR"/>
        </w:rPr>
        <w:t xml:space="preserve"> : </w:t>
      </w:r>
      <w:r w:rsidR="0056000A" w:rsidRPr="00E45267">
        <w:rPr>
          <w:rFonts w:ascii="Trebuchet MS" w:eastAsia="Times New Roman" w:hAnsi="Trebuchet MS" w:cs="Calibri"/>
          <w:bCs w:val="0"/>
          <w:color w:val="000000"/>
          <w:lang w:eastAsia="fr-FR"/>
        </w:rPr>
        <w:t>Modes de paiement à un tiers</w:t>
      </w:r>
      <w:bookmarkEnd w:id="192"/>
    </w:p>
    <w:tbl>
      <w:tblPr>
        <w:tblStyle w:val="ENergiemnage"/>
        <w:tblW w:w="6396" w:type="dxa"/>
        <w:tblBorders>
          <w:top w:val="double" w:sz="4" w:space="0" w:color="auto"/>
          <w:bottom w:val="double" w:sz="4" w:space="0" w:color="auto"/>
        </w:tblBorders>
        <w:tblLook w:val="04A0" w:firstRow="1" w:lastRow="0" w:firstColumn="1" w:lastColumn="0" w:noHBand="0" w:noVBand="1"/>
      </w:tblPr>
      <w:tblGrid>
        <w:gridCol w:w="4466"/>
        <w:gridCol w:w="945"/>
        <w:gridCol w:w="985"/>
      </w:tblGrid>
      <w:tr w:rsidR="0056000A" w:rsidRPr="0072397D" w:rsidTr="00B12BA8">
        <w:trPr>
          <w:trHeight w:val="261"/>
        </w:trPr>
        <w:tc>
          <w:tcPr>
            <w:tcW w:w="4466"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Libellé des modes de paiement</w:t>
            </w:r>
          </w:p>
        </w:tc>
        <w:tc>
          <w:tcPr>
            <w:tcW w:w="945"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85"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56000A" w:rsidRPr="0072397D" w:rsidTr="00B12BA8">
        <w:trPr>
          <w:trHeight w:val="261"/>
        </w:trPr>
        <w:tc>
          <w:tcPr>
            <w:tcW w:w="4466" w:type="dxa"/>
            <w:tcBorders>
              <w:top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Frais d’électricité inclus dans le loyer</w:t>
            </w:r>
          </w:p>
        </w:tc>
        <w:tc>
          <w:tcPr>
            <w:tcW w:w="945" w:type="dxa"/>
            <w:tcBorders>
              <w:top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w:t>
            </w:r>
          </w:p>
        </w:tc>
        <w:tc>
          <w:tcPr>
            <w:tcW w:w="985" w:type="dxa"/>
            <w:tcBorders>
              <w:top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Au kWh tel que stipulé par le contrat</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124</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36,9</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 fonction du nombre d’ampoules et de prises</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170</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50,6</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Autre à préciser</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8,0</w:t>
            </w:r>
          </w:p>
        </w:tc>
      </w:tr>
      <w:tr w:rsidR="0056000A" w:rsidRPr="0072397D" w:rsidTr="00B12BA8">
        <w:trPr>
          <w:trHeight w:val="261"/>
        </w:trPr>
        <w:tc>
          <w:tcPr>
            <w:tcW w:w="4466" w:type="dxa"/>
            <w:tcBorders>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5" w:type="dxa"/>
            <w:tcBorders>
              <w:bottom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w:t>
            </w:r>
          </w:p>
        </w:tc>
        <w:tc>
          <w:tcPr>
            <w:tcW w:w="985" w:type="dxa"/>
            <w:tcBorders>
              <w:bottom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3,3</w:t>
            </w:r>
          </w:p>
        </w:tc>
      </w:tr>
      <w:tr w:rsidR="0056000A" w:rsidRPr="0072397D" w:rsidTr="00B12BA8">
        <w:trPr>
          <w:trHeight w:val="261"/>
        </w:trPr>
        <w:tc>
          <w:tcPr>
            <w:tcW w:w="4466" w:type="dxa"/>
            <w:tcBorders>
              <w:top w:val="single" w:sz="4" w:space="0" w:color="auto"/>
              <w:bottom w:val="doub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945" w:type="dxa"/>
            <w:tcBorders>
              <w:top w:val="single" w:sz="4" w:space="0" w:color="auto"/>
              <w:bottom w:val="doub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336</w:t>
            </w:r>
          </w:p>
        </w:tc>
        <w:tc>
          <w:tcPr>
            <w:tcW w:w="985" w:type="dxa"/>
            <w:tcBorders>
              <w:top w:val="single" w:sz="4" w:space="0" w:color="auto"/>
              <w:bottom w:val="doub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56000A" w:rsidRPr="0072397D" w:rsidRDefault="0056000A" w:rsidP="00E45267">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84504B" w:rsidRPr="0084504B" w:rsidRDefault="0084504B" w:rsidP="00B12BA8">
      <w:pPr>
        <w:tabs>
          <w:tab w:val="right" w:pos="9072"/>
        </w:tabs>
        <w:spacing w:before="240"/>
        <w:jc w:val="both"/>
        <w:rPr>
          <w:rFonts w:ascii="Trebuchet MS" w:hAnsi="Trebuchet MS"/>
        </w:rPr>
      </w:pPr>
    </w:p>
    <w:p w:rsidR="0056000A" w:rsidRPr="0072397D" w:rsidRDefault="0084504B" w:rsidP="00F03E08">
      <w:pPr>
        <w:pStyle w:val="Titre4"/>
      </w:pPr>
      <w:bookmarkStart w:id="193" w:name="_Toc426359466"/>
      <w:r>
        <w:t>3</w:t>
      </w:r>
      <w:r w:rsidR="0056000A" w:rsidRPr="0072397D">
        <w:t>.2.2. Cout de raccordement au réseau</w:t>
      </w:r>
      <w:bookmarkEnd w:id="193"/>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L’enquête s’est également penchée sur les frais supportés par les ménages pour se connecter au réseau. Il en ressort que le montant moyen effectivement payé par les ménages pour se raccorder est de 118.535 FCFA facturé alors que ces derniers avaient reçu en moyenne un devis de 101.802 FCFA soit des frais additionnels représentant 16% du montant facturé. Quel que soit le milieu de résidence, le type de connexion et le département de résidence, les ménages ont eu à supporter des frais additionnels. Ces frais sont constitués, entre autres, d’achat de fil ou de poteaux, de « frais de démarche », de « faux frais », de « dons à un agent de la SBEE », de « frais de motivation, d’installation ou de déplacement », de « frais de remerciement », de « gratification » et de « pourboire ».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Il est difficile de faire une appréciation objective le niveau du montant moyen facturé aux ménages pour se raccorder. Premièrement, les paiements ont été effectués par les ménages au moment de se faire raccorder au réseau. Or tous les ménages n’ont pas été raccordés au même moment. A titre d’illustration, parmi les ménages enquêtés, les premiers à être raccorder, l’ont été en 1953. Deuxièmement, les devis réalisés par la SBEE tiennent compte des spécificités des branchements demandés. Il s’agit, entre autres, du type de compteur demandé (mère ou additionnel, 2 ou 4 fils), de la puissance souscrite et de la localisation géographique du ménage.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Pour se faire une idée de ce que pourrait représenter aujourd’hui les frais de raccordement supportés par les ménages, l’on a procéder à l’actualisation des montants payés par chaque ménages au moment de son raccordement. L’actualisation d’un montant Y payé au cours d’une année N consiste à estimer la valeur de ce montant à une année M postérieure à l’année N en utilisant un taux d’actualisation. Pour les présentes estimations, c’est le taux d’inflation moyen du Bénin (4,4%) sur la période 1960-2014 qui a été considéré comme taux d’actualisation.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Ainsi, après actualisant des montants payés par chaque ménage au moment du raccordement, on peut retenir que pour se raccorder les ménages ont payé en moyenne l’équivalent de 203525 FCFA. Toutefois, les ménages connectés à la ligne directe de la SBEE paient 3,5 fois plus que ceux qui sont connectés aux « toiles d’araignée ».  </w:t>
      </w:r>
    </w:p>
    <w:p w:rsidR="0056000A" w:rsidRPr="0072397D" w:rsidRDefault="0056000A" w:rsidP="0056000A">
      <w:pPr>
        <w:tabs>
          <w:tab w:val="right" w:pos="9072"/>
        </w:tabs>
        <w:spacing w:after="0"/>
        <w:jc w:val="both"/>
        <w:rPr>
          <w:rFonts w:ascii="Trebuchet MS" w:hAnsi="Trebuchet MS"/>
          <w:sz w:val="24"/>
          <w:szCs w:val="24"/>
        </w:rPr>
      </w:pPr>
    </w:p>
    <w:p w:rsidR="0056000A" w:rsidRPr="00E45267" w:rsidRDefault="00E45267" w:rsidP="00E45267">
      <w:pPr>
        <w:pStyle w:val="Lgende"/>
        <w:keepNext/>
        <w:spacing w:after="0" w:line="240" w:lineRule="auto"/>
        <w:rPr>
          <w:rFonts w:ascii="Trebuchet MS" w:hAnsi="Trebuchet MS"/>
          <w:szCs w:val="24"/>
        </w:rPr>
      </w:pPr>
      <w:bookmarkStart w:id="194" w:name="_Toc426359355"/>
      <w:r w:rsidRPr="00E45267">
        <w:rPr>
          <w:rFonts w:ascii="Trebuchet MS" w:hAnsi="Trebuchet MS"/>
          <w:szCs w:val="24"/>
        </w:rPr>
        <w:t xml:space="preserve">Tableau </w:t>
      </w:r>
      <w:r w:rsidR="00792500" w:rsidRPr="00E45267">
        <w:rPr>
          <w:rFonts w:ascii="Trebuchet MS" w:hAnsi="Trebuchet MS"/>
          <w:szCs w:val="24"/>
        </w:rPr>
        <w:fldChar w:fldCharType="begin"/>
      </w:r>
      <w:r w:rsidRPr="00E45267">
        <w:rPr>
          <w:rFonts w:ascii="Trebuchet MS" w:hAnsi="Trebuchet MS"/>
          <w:szCs w:val="24"/>
        </w:rPr>
        <w:instrText xml:space="preserve"> SEQ Tableau \* ARABIC </w:instrText>
      </w:r>
      <w:r w:rsidR="00792500" w:rsidRPr="00E45267">
        <w:rPr>
          <w:rFonts w:ascii="Trebuchet MS" w:hAnsi="Trebuchet MS"/>
          <w:szCs w:val="24"/>
        </w:rPr>
        <w:fldChar w:fldCharType="separate"/>
      </w:r>
      <w:r w:rsidR="00556962">
        <w:rPr>
          <w:rFonts w:ascii="Trebuchet MS" w:hAnsi="Trebuchet MS"/>
          <w:noProof/>
          <w:szCs w:val="24"/>
        </w:rPr>
        <w:t>36</w:t>
      </w:r>
      <w:r w:rsidR="00792500" w:rsidRPr="00E45267">
        <w:rPr>
          <w:rFonts w:ascii="Trebuchet MS" w:hAnsi="Trebuchet MS"/>
          <w:szCs w:val="24"/>
        </w:rPr>
        <w:fldChar w:fldCharType="end"/>
      </w:r>
      <w:r w:rsidRPr="00E45267">
        <w:rPr>
          <w:rFonts w:ascii="Trebuchet MS" w:hAnsi="Trebuchet MS"/>
          <w:szCs w:val="24"/>
        </w:rPr>
        <w:t xml:space="preserve"> : </w:t>
      </w:r>
      <w:r w:rsidR="0056000A" w:rsidRPr="00E45267">
        <w:rPr>
          <w:rFonts w:ascii="Trebuchet MS" w:hAnsi="Trebuchet MS"/>
          <w:szCs w:val="24"/>
        </w:rPr>
        <w:t>Coûts de raccordement actualisés à l’année 2015</w:t>
      </w:r>
      <w:bookmarkEnd w:id="194"/>
    </w:p>
    <w:tbl>
      <w:tblPr>
        <w:tblStyle w:val="ENergiemnage"/>
        <w:tblW w:w="10136" w:type="dxa"/>
        <w:tblBorders>
          <w:top w:val="double" w:sz="4" w:space="0" w:color="auto"/>
          <w:bottom w:val="double" w:sz="4" w:space="0" w:color="auto"/>
        </w:tblBorders>
        <w:tblLook w:val="04A0" w:firstRow="1" w:lastRow="0" w:firstColumn="1" w:lastColumn="0" w:noHBand="0" w:noVBand="1"/>
      </w:tblPr>
      <w:tblGrid>
        <w:gridCol w:w="3703"/>
        <w:gridCol w:w="3187"/>
        <w:gridCol w:w="1548"/>
        <w:gridCol w:w="1698"/>
      </w:tblGrid>
      <w:tr w:rsidR="0056000A" w:rsidRPr="00167492" w:rsidTr="00B12BA8">
        <w:trPr>
          <w:trHeight w:val="241"/>
        </w:trPr>
        <w:tc>
          <w:tcPr>
            <w:tcW w:w="3703" w:type="dxa"/>
            <w:vMerge w:val="restart"/>
            <w:tcBorders>
              <w:top w:val="double" w:sz="4" w:space="0" w:color="auto"/>
              <w:bottom w:val="single" w:sz="4" w:space="0" w:color="auto"/>
            </w:tcBorders>
            <w:noWrap/>
            <w:vAlign w:val="center"/>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Type de connexion </w:t>
            </w:r>
          </w:p>
        </w:tc>
        <w:tc>
          <w:tcPr>
            <w:tcW w:w="3187" w:type="dxa"/>
            <w:vMerge w:val="restart"/>
            <w:tcBorders>
              <w:top w:val="double" w:sz="4" w:space="0" w:color="auto"/>
              <w:bottom w:val="single" w:sz="4" w:space="0" w:color="auto"/>
            </w:tcBorders>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Coût de raccordement supporté lors du branchement </w:t>
            </w:r>
          </w:p>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 FCFA)</w:t>
            </w:r>
          </w:p>
        </w:tc>
        <w:tc>
          <w:tcPr>
            <w:tcW w:w="3246" w:type="dxa"/>
            <w:gridSpan w:val="2"/>
            <w:tcBorders>
              <w:top w:val="double" w:sz="4" w:space="0" w:color="auto"/>
              <w:bottom w:val="single" w:sz="4" w:space="0" w:color="auto"/>
            </w:tcBorders>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Coût de raccordement actualisé en 2015</w:t>
            </w:r>
          </w:p>
        </w:tc>
      </w:tr>
      <w:tr w:rsidR="0056000A" w:rsidRPr="00167492" w:rsidTr="00B12BA8">
        <w:trPr>
          <w:trHeight w:val="359"/>
        </w:trPr>
        <w:tc>
          <w:tcPr>
            <w:tcW w:w="3703" w:type="dxa"/>
            <w:vMerge/>
            <w:tcBorders>
              <w:top w:val="nil"/>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p>
        </w:tc>
        <w:tc>
          <w:tcPr>
            <w:tcW w:w="3187" w:type="dxa"/>
            <w:vMerge/>
            <w:tcBorders>
              <w:top w:val="nil"/>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p>
        </w:tc>
        <w:tc>
          <w:tcPr>
            <w:tcW w:w="1548" w:type="dxa"/>
            <w:tcBorders>
              <w:top w:val="single" w:sz="4" w:space="0" w:color="auto"/>
              <w:bottom w:val="single" w:sz="4" w:space="0" w:color="auto"/>
            </w:tcBorders>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 Dollar US)</w:t>
            </w:r>
          </w:p>
        </w:tc>
        <w:tc>
          <w:tcPr>
            <w:tcW w:w="1698" w:type="dxa"/>
            <w:tcBorders>
              <w:top w:val="single" w:sz="4" w:space="0" w:color="auto"/>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(en FCFA) </w:t>
            </w:r>
          </w:p>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1$=500FCFA</w:t>
            </w:r>
          </w:p>
        </w:tc>
      </w:tr>
      <w:tr w:rsidR="0056000A" w:rsidRPr="00167492" w:rsidTr="00B12BA8">
        <w:trPr>
          <w:trHeight w:val="241"/>
        </w:trPr>
        <w:tc>
          <w:tcPr>
            <w:tcW w:w="3703" w:type="dxa"/>
            <w:tcBorders>
              <w:top w:val="single" w:sz="4" w:space="0" w:color="auto"/>
            </w:tcBorders>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   Ligne directe</w:t>
            </w:r>
          </w:p>
        </w:tc>
        <w:tc>
          <w:tcPr>
            <w:tcW w:w="3187"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134 944</w:t>
            </w:r>
          </w:p>
        </w:tc>
        <w:tc>
          <w:tcPr>
            <w:tcW w:w="1548"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479</w:t>
            </w:r>
          </w:p>
        </w:tc>
        <w:tc>
          <w:tcPr>
            <w:tcW w:w="1698"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239 561</w:t>
            </w:r>
          </w:p>
        </w:tc>
      </w:tr>
      <w:tr w:rsidR="0056000A" w:rsidRPr="00167492" w:rsidTr="00B12BA8">
        <w:trPr>
          <w:trHeight w:val="241"/>
        </w:trPr>
        <w:tc>
          <w:tcPr>
            <w:tcW w:w="3703" w:type="dxa"/>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   Ligne sous-traitée (toile d'araignée)</w:t>
            </w:r>
          </w:p>
        </w:tc>
        <w:tc>
          <w:tcPr>
            <w:tcW w:w="3187"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66 592</w:t>
            </w:r>
          </w:p>
        </w:tc>
        <w:tc>
          <w:tcPr>
            <w:tcW w:w="154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141</w:t>
            </w:r>
          </w:p>
        </w:tc>
        <w:tc>
          <w:tcPr>
            <w:tcW w:w="169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70 742</w:t>
            </w:r>
          </w:p>
        </w:tc>
      </w:tr>
      <w:tr w:rsidR="0056000A" w:rsidRPr="00167492" w:rsidTr="00B12BA8">
        <w:trPr>
          <w:trHeight w:val="241"/>
        </w:trPr>
        <w:tc>
          <w:tcPr>
            <w:tcW w:w="3703" w:type="dxa"/>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Ensemble</w:t>
            </w:r>
          </w:p>
        </w:tc>
        <w:tc>
          <w:tcPr>
            <w:tcW w:w="3187"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118 535</w:t>
            </w:r>
          </w:p>
        </w:tc>
        <w:tc>
          <w:tcPr>
            <w:tcW w:w="154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407</w:t>
            </w:r>
          </w:p>
        </w:tc>
        <w:tc>
          <w:tcPr>
            <w:tcW w:w="169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203 525</w:t>
            </w:r>
          </w:p>
        </w:tc>
      </w:tr>
    </w:tbl>
    <w:p w:rsidR="0056000A" w:rsidRPr="00E268F8" w:rsidRDefault="0056000A" w:rsidP="00E45267">
      <w:pPr>
        <w:keepNext/>
        <w:tabs>
          <w:tab w:val="right" w:pos="9072"/>
        </w:tabs>
        <w:spacing w:after="0"/>
        <w:jc w:val="both"/>
        <w:rPr>
          <w:rFonts w:ascii="Trebuchet MS" w:hAnsi="Trebuchet MS"/>
          <w:sz w:val="20"/>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tabs>
          <w:tab w:val="right" w:pos="9072"/>
        </w:tabs>
        <w:spacing w:after="0"/>
        <w:jc w:val="both"/>
        <w:rPr>
          <w:rFonts w:ascii="Trebuchet MS" w:hAnsi="Trebuchet MS"/>
          <w:sz w:val="24"/>
          <w:szCs w:val="24"/>
        </w:rPr>
      </w:pPr>
    </w:p>
    <w:p w:rsidR="0084504B" w:rsidRPr="0072397D" w:rsidRDefault="0084504B" w:rsidP="0056000A">
      <w:pPr>
        <w:tabs>
          <w:tab w:val="right" w:pos="9072"/>
        </w:tabs>
        <w:spacing w:after="0"/>
        <w:jc w:val="both"/>
        <w:rPr>
          <w:rFonts w:ascii="Trebuchet MS" w:hAnsi="Trebuchet MS"/>
          <w:sz w:val="24"/>
          <w:szCs w:val="24"/>
        </w:rPr>
      </w:pPr>
    </w:p>
    <w:p w:rsidR="0056000A" w:rsidRPr="0072397D" w:rsidRDefault="0084504B" w:rsidP="00F03E08">
      <w:pPr>
        <w:pStyle w:val="Titre4"/>
      </w:pPr>
      <w:bookmarkStart w:id="195" w:name="_Toc426359467"/>
      <w:r>
        <w:t>3</w:t>
      </w:r>
      <w:r w:rsidR="0056000A" w:rsidRPr="0072397D">
        <w:t>.2.3. Dynamique de la consommation d’électricité</w:t>
      </w:r>
      <w:bookmarkEnd w:id="195"/>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 rapport 2010 sur le Système d’Information Energétique (SIE) du Bénin montre que, quel que soit le type d’énergie (électricité, produits pétroliers et biomasse), il s’observe une augmentation de la consommation finale d’énergie par habitant depuis 1996. Le Rapport note un accroissement moyen de 5,8% de la consommation d’électricité sur la période 1996-2010. </w:t>
      </w:r>
    </w:p>
    <w:p w:rsidR="0056000A" w:rsidRPr="00167492" w:rsidRDefault="0056000A" w:rsidP="0056000A">
      <w:pPr>
        <w:tabs>
          <w:tab w:val="right" w:pos="9072"/>
        </w:tabs>
        <w:spacing w:before="240"/>
        <w:jc w:val="both"/>
        <w:rPr>
          <w:rFonts w:ascii="Trebuchet MS" w:eastAsia="Times New Roman" w:hAnsi="Trebuchet MS" w:cs="Calibri"/>
          <w:color w:val="000000"/>
          <w:lang w:eastAsia="fr-FR"/>
        </w:rPr>
      </w:pPr>
      <w:r w:rsidRPr="00167492">
        <w:rPr>
          <w:rFonts w:ascii="Trebuchet MS" w:hAnsi="Trebuchet MS"/>
        </w:rPr>
        <w:t>L’enquête sur la consommation d’électricité au Bénin a également noté une hausse des</w:t>
      </w:r>
      <w:r w:rsidRPr="00167492">
        <w:rPr>
          <w:rFonts w:ascii="Trebuchet MS" w:eastAsia="Times New Roman" w:hAnsi="Trebuchet MS" w:cs="Calibri"/>
          <w:color w:val="000000"/>
          <w:lang w:eastAsia="fr-FR"/>
        </w:rPr>
        <w:t xml:space="preserve"> dépenses de consommation d’électricité dans les ménages. En effet, le montant moyen </w:t>
      </w:r>
      <w:r w:rsidRPr="00167492">
        <w:rPr>
          <w:rFonts w:ascii="Trebuchet MS" w:hAnsi="Trebuchet MS"/>
        </w:rPr>
        <w:t xml:space="preserve">payé par ménage en règlement de la dernière facture d’électricité disponible est de 9829 FCFA. Par rapport à la facture du même mois de l’année précédente, ce montant est en hausse de 10,4% avec de légères disparités selon le milieu de résidence et le type de connexion. Si dans le département du Couffo on note jusqu’à 30,9% de hausse, ce n’est pas le cas dans les départements de l’Atacora (-7,0%) et du Borgou (-20,8%) où les dépenses de consommation ont baissé en moyenne par rapport à l’année précédente. </w:t>
      </w:r>
    </w:p>
    <w:p w:rsidR="0056000A" w:rsidRPr="0072397D" w:rsidRDefault="0084504B" w:rsidP="00F03E08">
      <w:pPr>
        <w:pStyle w:val="Titre4"/>
      </w:pPr>
      <w:bookmarkStart w:id="196" w:name="_Toc426359468"/>
      <w:r>
        <w:t>3</w:t>
      </w:r>
      <w:r w:rsidR="0056000A" w:rsidRPr="0072397D">
        <w:t>.2.</w:t>
      </w:r>
      <w:r>
        <w:t>4</w:t>
      </w:r>
      <w:r w:rsidR="0056000A" w:rsidRPr="0072397D">
        <w:t>. Exactitude de la facturation</w:t>
      </w:r>
      <w:bookmarkEnd w:id="196"/>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La transparence dans la facturation est un déterminant majeur de l’assiduité des ménages dans le paiement de leurs factures. Cependant, malgré le dispositif mis en place par la SBEE pour garantir la transparence de la facturation et informer les usagers sur le mode de calcul du montant correspondant à leur consommation, ces derniers semblent ne pas être en phase avec la SBEE en ce qui concerne la facturation. En effet, 2/3 des ménages interrogés estiment que les factures qui leur sont adressées sont surestimées par rapport à leur consommation. Ce sentiment est partagé par la plupart des ménages quel que soit le type de connexion effectué, leur milieu et leur département de résidence. Ils estiment globalement que la facture qu’ils paient habituellement représente 1,788 fois ce qu’il devrait payer. En d’autres termes, leur facture est surestimée en moyenne de 80%.</w:t>
      </w:r>
    </w:p>
    <w:p w:rsidR="0056000A" w:rsidRPr="0072397D" w:rsidRDefault="0056000A" w:rsidP="0056000A">
      <w:pPr>
        <w:tabs>
          <w:tab w:val="right" w:pos="9072"/>
        </w:tabs>
        <w:spacing w:after="0"/>
        <w:jc w:val="both"/>
        <w:rPr>
          <w:rFonts w:ascii="Trebuchet MS" w:hAnsi="Trebuchet MS"/>
          <w:sz w:val="20"/>
          <w:szCs w:val="24"/>
        </w:rPr>
      </w:pPr>
    </w:p>
    <w:p w:rsidR="0056000A" w:rsidRPr="00E45267" w:rsidRDefault="00E45267" w:rsidP="00E45267">
      <w:pPr>
        <w:pStyle w:val="Lgende"/>
        <w:keepNext/>
        <w:spacing w:after="0" w:line="240" w:lineRule="auto"/>
        <w:rPr>
          <w:rFonts w:ascii="Trebuchet MS" w:hAnsi="Trebuchet MS"/>
          <w:szCs w:val="24"/>
        </w:rPr>
      </w:pPr>
      <w:bookmarkStart w:id="197" w:name="_Toc426359356"/>
      <w:r w:rsidRPr="00E45267">
        <w:rPr>
          <w:rFonts w:ascii="Trebuchet MS" w:hAnsi="Trebuchet MS"/>
          <w:szCs w:val="24"/>
        </w:rPr>
        <w:t xml:space="preserve">Tableau </w:t>
      </w:r>
      <w:r w:rsidR="00792500" w:rsidRPr="00E45267">
        <w:rPr>
          <w:rFonts w:ascii="Trebuchet MS" w:hAnsi="Trebuchet MS"/>
          <w:szCs w:val="24"/>
        </w:rPr>
        <w:fldChar w:fldCharType="begin"/>
      </w:r>
      <w:r w:rsidRPr="00E45267">
        <w:rPr>
          <w:rFonts w:ascii="Trebuchet MS" w:hAnsi="Trebuchet MS"/>
          <w:szCs w:val="24"/>
        </w:rPr>
        <w:instrText xml:space="preserve"> SEQ Tableau \* ARABIC </w:instrText>
      </w:r>
      <w:r w:rsidR="00792500" w:rsidRPr="00E45267">
        <w:rPr>
          <w:rFonts w:ascii="Trebuchet MS" w:hAnsi="Trebuchet MS"/>
          <w:szCs w:val="24"/>
        </w:rPr>
        <w:fldChar w:fldCharType="separate"/>
      </w:r>
      <w:r w:rsidR="00556962">
        <w:rPr>
          <w:rFonts w:ascii="Trebuchet MS" w:hAnsi="Trebuchet MS"/>
          <w:noProof/>
          <w:szCs w:val="24"/>
        </w:rPr>
        <w:t>37</w:t>
      </w:r>
      <w:r w:rsidR="00792500" w:rsidRPr="00E45267">
        <w:rPr>
          <w:rFonts w:ascii="Trebuchet MS" w:hAnsi="Trebuchet MS"/>
          <w:szCs w:val="24"/>
        </w:rPr>
        <w:fldChar w:fldCharType="end"/>
      </w:r>
      <w:r w:rsidRPr="00E45267">
        <w:rPr>
          <w:rFonts w:ascii="Trebuchet MS" w:hAnsi="Trebuchet MS"/>
          <w:szCs w:val="24"/>
        </w:rPr>
        <w:t xml:space="preserve"> : </w:t>
      </w:r>
      <w:r w:rsidR="0056000A" w:rsidRPr="00E45267">
        <w:rPr>
          <w:rFonts w:ascii="Trebuchet MS" w:hAnsi="Trebuchet MS"/>
          <w:szCs w:val="24"/>
        </w:rPr>
        <w:t>Appréciation des ménages sur l’exactitude de la facturation</w:t>
      </w:r>
      <w:bookmarkEnd w:id="197"/>
    </w:p>
    <w:tbl>
      <w:tblPr>
        <w:tblStyle w:val="ENergiemnage"/>
        <w:tblW w:w="6574" w:type="dxa"/>
        <w:tblBorders>
          <w:top w:val="double" w:sz="4" w:space="0" w:color="auto"/>
          <w:bottom w:val="double" w:sz="4" w:space="0" w:color="auto"/>
        </w:tblBorders>
        <w:tblLook w:val="04A0" w:firstRow="1" w:lastRow="0" w:firstColumn="1" w:lastColumn="0" w:noHBand="0" w:noVBand="1"/>
      </w:tblPr>
      <w:tblGrid>
        <w:gridCol w:w="4694"/>
        <w:gridCol w:w="901"/>
        <w:gridCol w:w="979"/>
      </w:tblGrid>
      <w:tr w:rsidR="0056000A" w:rsidRPr="00B96C46" w:rsidTr="00B12BA8">
        <w:trPr>
          <w:trHeight w:val="263"/>
        </w:trPr>
        <w:tc>
          <w:tcPr>
            <w:tcW w:w="4694"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Exactitude de la facturation</w:t>
            </w:r>
          </w:p>
        </w:tc>
        <w:tc>
          <w:tcPr>
            <w:tcW w:w="901"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Effectif</w:t>
            </w:r>
          </w:p>
        </w:tc>
        <w:tc>
          <w:tcPr>
            <w:tcW w:w="979"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Part (%)</w:t>
            </w:r>
          </w:p>
        </w:tc>
      </w:tr>
      <w:tr w:rsidR="0056000A" w:rsidRPr="00B96C46" w:rsidTr="00B12BA8">
        <w:trPr>
          <w:trHeight w:val="263"/>
        </w:trPr>
        <w:tc>
          <w:tcPr>
            <w:tcW w:w="4694"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Surestimées par rapport à votre consommation</w:t>
            </w:r>
          </w:p>
        </w:tc>
        <w:tc>
          <w:tcPr>
            <w:tcW w:w="901"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878</w:t>
            </w:r>
          </w:p>
        </w:tc>
        <w:tc>
          <w:tcPr>
            <w:tcW w:w="979"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66,3</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Conformes à votre niveau de consommation</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289</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21,8</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Sous-estimées par rapport à votre consommation</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0,2</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Non déclaré</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156</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Total</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1325</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100,0</w:t>
            </w:r>
          </w:p>
        </w:tc>
      </w:tr>
    </w:tbl>
    <w:p w:rsidR="0056000A" w:rsidRDefault="0056000A" w:rsidP="00E45267">
      <w:pPr>
        <w:keepNext/>
        <w:tabs>
          <w:tab w:val="right" w:pos="9072"/>
        </w:tabs>
        <w:spacing w:after="0"/>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rPr>
          <w:rFonts w:ascii="Trebuchet MS" w:hAnsi="Trebuchet MS"/>
          <w:sz w:val="24"/>
          <w:szCs w:val="24"/>
        </w:rPr>
        <w:sectPr w:rsidR="0056000A" w:rsidRPr="0072397D" w:rsidSect="005A65B3">
          <w:pgSz w:w="11906" w:h="16838"/>
          <w:pgMar w:top="1843" w:right="993" w:bottom="851" w:left="993" w:header="708" w:footer="0" w:gutter="0"/>
          <w:cols w:space="708"/>
          <w:docGrid w:linePitch="360"/>
        </w:sect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spacing w:after="0"/>
        <w:rPr>
          <w:rFonts w:ascii="Trebuchet MS" w:hAnsi="Trebuchet MS"/>
          <w:szCs w:val="24"/>
        </w:rPr>
      </w:pPr>
      <w:bookmarkStart w:id="198" w:name="_Toc426359357"/>
      <w:r w:rsidRPr="001B76BE">
        <w:rPr>
          <w:rFonts w:ascii="Trebuchet MS" w:hAnsi="Trebuchet MS"/>
          <w:szCs w:val="24"/>
        </w:rPr>
        <w:t xml:space="preserve">Tableau </w:t>
      </w:r>
      <w:r w:rsidR="00792500" w:rsidRPr="001B76BE">
        <w:rPr>
          <w:rFonts w:ascii="Trebuchet MS" w:hAnsi="Trebuchet MS"/>
          <w:szCs w:val="24"/>
        </w:rPr>
        <w:fldChar w:fldCharType="begin"/>
      </w:r>
      <w:r w:rsidRPr="001B76BE">
        <w:rPr>
          <w:rFonts w:ascii="Trebuchet MS" w:hAnsi="Trebuchet MS"/>
          <w:szCs w:val="24"/>
        </w:rPr>
        <w:instrText xml:space="preserve"> SEQ Tableau \* ARABIC </w:instrText>
      </w:r>
      <w:r w:rsidR="00792500" w:rsidRPr="001B76BE">
        <w:rPr>
          <w:rFonts w:ascii="Trebuchet MS" w:hAnsi="Trebuchet MS"/>
          <w:szCs w:val="24"/>
        </w:rPr>
        <w:fldChar w:fldCharType="separate"/>
      </w:r>
      <w:r w:rsidR="00556962">
        <w:rPr>
          <w:rFonts w:ascii="Trebuchet MS" w:hAnsi="Trebuchet MS"/>
          <w:noProof/>
          <w:szCs w:val="24"/>
        </w:rPr>
        <w:t>38</w:t>
      </w:r>
      <w:r w:rsidR="00792500"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Synthèse d’indicateurs sur la facturation et le raccordement au réseau électrique de la SBEE</w:t>
      </w:r>
      <w:bookmarkEnd w:id="198"/>
    </w:p>
    <w:tbl>
      <w:tblPr>
        <w:tblStyle w:val="ENergiemnage"/>
        <w:tblW w:w="5212" w:type="pct"/>
        <w:tblInd w:w="-743" w:type="dxa"/>
        <w:tblBorders>
          <w:top w:val="double" w:sz="4" w:space="0" w:color="auto"/>
          <w:bottom w:val="double" w:sz="4" w:space="0" w:color="auto"/>
        </w:tblBorders>
        <w:tblLayout w:type="fixed"/>
        <w:tblLook w:val="04A0" w:firstRow="1" w:lastRow="0" w:firstColumn="1" w:lastColumn="0" w:noHBand="0" w:noVBand="1"/>
      </w:tblPr>
      <w:tblGrid>
        <w:gridCol w:w="2080"/>
        <w:gridCol w:w="1487"/>
        <w:gridCol w:w="1551"/>
        <w:gridCol w:w="1168"/>
        <w:gridCol w:w="1144"/>
        <w:gridCol w:w="2000"/>
        <w:gridCol w:w="1138"/>
        <w:gridCol w:w="1545"/>
        <w:gridCol w:w="1712"/>
        <w:gridCol w:w="1144"/>
      </w:tblGrid>
      <w:tr w:rsidR="0056000A" w:rsidRPr="00B96C46" w:rsidTr="00B12BA8">
        <w:trPr>
          <w:trHeight w:val="1200"/>
        </w:trPr>
        <w:tc>
          <w:tcPr>
            <w:tcW w:w="695" w:type="pct"/>
            <w:tcBorders>
              <w:top w:val="double" w:sz="4" w:space="0" w:color="auto"/>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p>
        </w:tc>
        <w:tc>
          <w:tcPr>
            <w:tcW w:w="497"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Montant moyen facturé par la SBEE/Fournisseur pour raccorder le ménage (FCFA)</w:t>
            </w:r>
            <w:r w:rsidRPr="00B96C46">
              <w:rPr>
                <w:rFonts w:ascii="Trebuchet MS" w:eastAsia="Times New Roman" w:hAnsi="Trebuchet MS" w:cs="Calibri"/>
                <w:color w:val="000000"/>
                <w:sz w:val="18"/>
                <w:szCs w:val="20"/>
                <w:lang w:eastAsia="fr-FR"/>
              </w:rPr>
              <w:br/>
              <w:t>(1)</w:t>
            </w:r>
          </w:p>
        </w:tc>
        <w:tc>
          <w:tcPr>
            <w:tcW w:w="518"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Montant moyen effectivement payé par le ménage pour se raccorder (FCFA)</w:t>
            </w:r>
            <w:r w:rsidRPr="00B96C46">
              <w:rPr>
                <w:rFonts w:ascii="Trebuchet MS" w:eastAsia="Times New Roman" w:hAnsi="Trebuchet MS" w:cs="Calibri"/>
                <w:color w:val="000000"/>
                <w:sz w:val="18"/>
                <w:szCs w:val="20"/>
                <w:lang w:eastAsia="fr-FR"/>
              </w:rPr>
              <w:br/>
              <w:t>(2)</w:t>
            </w:r>
          </w:p>
        </w:tc>
        <w:tc>
          <w:tcPr>
            <w:tcW w:w="390"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 (Montant payé/Montant Facturé)</w:t>
            </w:r>
            <w:r w:rsidRPr="00B96C46">
              <w:rPr>
                <w:rFonts w:ascii="Trebuchet MS" w:eastAsia="Times New Roman" w:hAnsi="Trebuchet MS" w:cs="Calibri"/>
                <w:color w:val="000000"/>
                <w:sz w:val="18"/>
                <w:szCs w:val="20"/>
                <w:lang w:eastAsia="fr-FR"/>
              </w:rPr>
              <w:br/>
              <w:t>(3)=(2)/(1)</w:t>
            </w:r>
          </w:p>
        </w:tc>
        <w:tc>
          <w:tcPr>
            <w:tcW w:w="38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xml:space="preserve">Montant moyen de la dernière facture reçu (FCFA) </w:t>
            </w:r>
            <w:r w:rsidRPr="00B96C46">
              <w:rPr>
                <w:rFonts w:ascii="Trebuchet MS" w:eastAsia="Times New Roman" w:hAnsi="Trebuchet MS" w:cs="Calibri"/>
                <w:color w:val="000000"/>
                <w:sz w:val="18"/>
                <w:szCs w:val="20"/>
                <w:lang w:eastAsia="fr-FR"/>
              </w:rPr>
              <w:br/>
              <w:t>(4)</w:t>
            </w:r>
          </w:p>
        </w:tc>
        <w:tc>
          <w:tcPr>
            <w:tcW w:w="668"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xml:space="preserve">Montant moyen de la facture du mois de l'année dernière correspondant au mois de la dernière facture reçue (FCFA) </w:t>
            </w:r>
            <w:r w:rsidRPr="00B96C46">
              <w:rPr>
                <w:rFonts w:ascii="Trebuchet MS" w:eastAsia="Times New Roman" w:hAnsi="Trebuchet MS" w:cs="Calibri"/>
                <w:color w:val="000000"/>
                <w:sz w:val="18"/>
                <w:szCs w:val="20"/>
                <w:lang w:eastAsia="fr-FR"/>
              </w:rPr>
              <w:br/>
              <w:t>(5)</w:t>
            </w:r>
          </w:p>
        </w:tc>
        <w:tc>
          <w:tcPr>
            <w:tcW w:w="380"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w:t>
            </w:r>
            <w:r w:rsidRPr="00B96C46">
              <w:rPr>
                <w:rFonts w:ascii="Trebuchet MS" w:eastAsia="Times New Roman" w:hAnsi="Trebuchet MS" w:cs="Calibri"/>
                <w:color w:val="000000"/>
                <w:sz w:val="18"/>
                <w:szCs w:val="20"/>
                <w:lang w:eastAsia="fr-FR"/>
              </w:rPr>
              <w:br/>
              <w:t>(6)=(4)/(5)</w:t>
            </w:r>
          </w:p>
        </w:tc>
        <w:tc>
          <w:tcPr>
            <w:tcW w:w="516"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Facture mensuelle moyenne d'électricité payée par ménage (FCFA)</w:t>
            </w:r>
            <w:r w:rsidRPr="00B96C46">
              <w:rPr>
                <w:rFonts w:ascii="Trebuchet MS" w:eastAsia="Times New Roman" w:hAnsi="Trebuchet MS" w:cs="Calibri"/>
                <w:color w:val="000000"/>
                <w:sz w:val="18"/>
                <w:szCs w:val="20"/>
                <w:lang w:eastAsia="fr-FR"/>
              </w:rPr>
              <w:br/>
              <w:t>(7)</w:t>
            </w:r>
          </w:p>
        </w:tc>
        <w:tc>
          <w:tcPr>
            <w:tcW w:w="57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Facture mensuelle moyenne d'électricité que le ménage pense qu'il devrait payer</w:t>
            </w:r>
            <w:r w:rsidRPr="00B96C46">
              <w:rPr>
                <w:rFonts w:ascii="Trebuchet MS" w:eastAsia="Times New Roman" w:hAnsi="Trebuchet MS" w:cs="Calibri"/>
                <w:color w:val="000000"/>
                <w:sz w:val="18"/>
                <w:szCs w:val="20"/>
                <w:lang w:eastAsia="fr-FR"/>
              </w:rPr>
              <w:br/>
              <w:t>(8)</w:t>
            </w:r>
          </w:p>
        </w:tc>
        <w:tc>
          <w:tcPr>
            <w:tcW w:w="38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w:t>
            </w:r>
            <w:r w:rsidRPr="00B96C46">
              <w:rPr>
                <w:rFonts w:ascii="Trebuchet MS" w:eastAsia="Times New Roman" w:hAnsi="Trebuchet MS" w:cs="Calibri"/>
                <w:color w:val="000000"/>
                <w:sz w:val="18"/>
                <w:szCs w:val="20"/>
                <w:lang w:eastAsia="fr-FR"/>
              </w:rPr>
              <w:br/>
              <w:t>(9)=(7)/(8)</w:t>
            </w:r>
          </w:p>
        </w:tc>
      </w:tr>
      <w:tr w:rsidR="0056000A" w:rsidRPr="00B96C46" w:rsidTr="00B12BA8">
        <w:trPr>
          <w:trHeight w:val="234"/>
        </w:trPr>
        <w:tc>
          <w:tcPr>
            <w:tcW w:w="695"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Milieu de résidence</w:t>
            </w:r>
          </w:p>
        </w:tc>
        <w:tc>
          <w:tcPr>
            <w:tcW w:w="497"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18"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90"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668"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0"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16"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7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Urbain</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110 382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128 748</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11 012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10 054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1,095</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10 912</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6 246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1,747</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Rural</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88 169</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102 307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7 753</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6 874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1,128</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8 134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4 260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1,909</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Type de connexion</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directe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115 476</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134 944</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11 739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10 605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1,107</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11 998</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6 735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1,782</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sous-traitée </w:t>
            </w:r>
          </w:p>
          <w:p w:rsidR="0056000A" w:rsidRPr="00B96C46" w:rsidRDefault="0056000A" w:rsidP="00B12BA8">
            <w:pPr>
              <w:keepNext/>
              <w:spacing w:after="0" w:line="240" w:lineRule="auto"/>
              <w:ind w:firstLineChars="36" w:firstLine="72"/>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(toile d'araignée)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58 517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66 592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1,138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5 728</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5 237</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1,094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5 779</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3 183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1,816</w:t>
            </w:r>
          </w:p>
        </w:tc>
      </w:tr>
      <w:tr w:rsidR="0056000A" w:rsidRPr="00B96C46" w:rsidTr="00B12BA8">
        <w:trPr>
          <w:trHeight w:val="143"/>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Département de </w:t>
            </w:r>
          </w:p>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résidence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ALIBORI</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117 238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135 381</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8 454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8 285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11 186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6 328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1,768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ATACORA</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86 028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88 060</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6 284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6 755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0,930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6 943</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4 688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1,481</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ATLANTIQUE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85 787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95 810</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1,117</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10 129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10 111</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1,002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9 704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4 972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1,952</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BORGOU</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150 825</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218 572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1,449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9 421</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11 890</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0,792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12 661</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9 334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1,356</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COLLINES</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102 440</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140 977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1,376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7 745</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7 453</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1,039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7 290</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4 673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1,560</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COUFFO</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151 667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176 667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6 392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4 884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1,309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6 432</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3 900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1,649</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DONGA</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66 722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74 129</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1,111</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11 710</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10 347</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1,132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12 556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6 906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1,818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LITTORAL</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140 304</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151 402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1,079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13 463</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12 031</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12 644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6 821</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1,854</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MONO</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94 924</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114 636</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1,208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7 112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5 852</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1,215</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5 781</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3 246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1,781</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OUEME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97 915</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117 058</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1,196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12 370</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10 850</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1,140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12 616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6 826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1,848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PLATEAU</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70 188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80 827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8 584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7 733</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8 326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5 293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1,573</w:t>
            </w:r>
          </w:p>
        </w:tc>
      </w:tr>
      <w:tr w:rsidR="0056000A" w:rsidRPr="00B96C46" w:rsidTr="00B12BA8">
        <w:trPr>
          <w:trHeight w:val="234"/>
        </w:trPr>
        <w:tc>
          <w:tcPr>
            <w:tcW w:w="695" w:type="pct"/>
            <w:tcBorders>
              <w:bottom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ZOU</w:t>
            </w:r>
          </w:p>
        </w:tc>
        <w:tc>
          <w:tcPr>
            <w:tcW w:w="497"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118 054</w:t>
            </w:r>
          </w:p>
        </w:tc>
        <w:tc>
          <w:tcPr>
            <w:tcW w:w="518"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128 061</w:t>
            </w:r>
          </w:p>
        </w:tc>
        <w:tc>
          <w:tcPr>
            <w:tcW w:w="390"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1,085</w:t>
            </w:r>
          </w:p>
        </w:tc>
        <w:tc>
          <w:tcPr>
            <w:tcW w:w="38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7 536</w:t>
            </w:r>
          </w:p>
        </w:tc>
        <w:tc>
          <w:tcPr>
            <w:tcW w:w="668"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6 024</w:t>
            </w:r>
          </w:p>
        </w:tc>
        <w:tc>
          <w:tcPr>
            <w:tcW w:w="380"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1,251</w:t>
            </w:r>
          </w:p>
        </w:tc>
        <w:tc>
          <w:tcPr>
            <w:tcW w:w="516"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6 769</w:t>
            </w:r>
          </w:p>
        </w:tc>
        <w:tc>
          <w:tcPr>
            <w:tcW w:w="57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3 748</w:t>
            </w:r>
          </w:p>
        </w:tc>
        <w:tc>
          <w:tcPr>
            <w:tcW w:w="38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1,806</w:t>
            </w:r>
          </w:p>
        </w:tc>
      </w:tr>
      <w:tr w:rsidR="0056000A" w:rsidRPr="00B96C46" w:rsidTr="00B12BA8">
        <w:trPr>
          <w:trHeight w:val="234"/>
        </w:trPr>
        <w:tc>
          <w:tcPr>
            <w:tcW w:w="695" w:type="pct"/>
            <w:tcBorders>
              <w:top w:val="single" w:sz="4" w:space="0" w:color="auto"/>
              <w:bottom w:val="doub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bl>
    <w:p w:rsidR="0056000A" w:rsidRPr="0072397D" w:rsidRDefault="0056000A" w:rsidP="0056000A">
      <w:pPr>
        <w:keepNext/>
        <w:tabs>
          <w:tab w:val="right" w:pos="9072"/>
        </w:tabs>
        <w:spacing w:after="0"/>
        <w:rPr>
          <w:rFonts w:ascii="Trebuchet MS" w:hAnsi="Trebuchet MS"/>
          <w:b/>
          <w:sz w:val="20"/>
          <w:szCs w:val="24"/>
        </w:rPr>
        <w:sectPr w:rsidR="0056000A" w:rsidRPr="0072397D" w:rsidSect="005A65B3">
          <w:pgSz w:w="16838" w:h="11906" w:orient="landscape"/>
          <w:pgMar w:top="993" w:right="851" w:bottom="993" w:left="1843" w:header="708" w:footer="0" w:gutter="0"/>
          <w:cols w:space="708"/>
          <w:docGrid w:linePitch="360"/>
        </w:sect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 xml:space="preserve">INSAE, 2015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03270B" w:rsidP="0003270B">
      <w:pPr>
        <w:pStyle w:val="Titre3"/>
        <w:numPr>
          <w:ilvl w:val="0"/>
          <w:numId w:val="0"/>
        </w:numPr>
        <w:ind w:left="720" w:hanging="720"/>
      </w:pPr>
      <w:bookmarkStart w:id="199" w:name="_Toc426359403"/>
      <w:bookmarkStart w:id="200" w:name="_Toc426359469"/>
      <w:r>
        <w:t>3</w:t>
      </w:r>
      <w:r w:rsidR="0056000A" w:rsidRPr="0072397D">
        <w:t>.3. Impact des coupures et baisses de tension sur les ménages</w:t>
      </w:r>
      <w:bookmarkEnd w:id="199"/>
      <w:bookmarkEnd w:id="200"/>
    </w:p>
    <w:p w:rsidR="0056000A" w:rsidRPr="0072397D" w:rsidRDefault="0003270B" w:rsidP="00F03E08">
      <w:pPr>
        <w:pStyle w:val="Titre4"/>
      </w:pPr>
      <w:bookmarkStart w:id="201" w:name="_Toc426359470"/>
      <w:bookmarkStart w:id="202" w:name="_Toc421805411"/>
      <w:bookmarkStart w:id="203" w:name="_Toc421806964"/>
      <w:r>
        <w:t>3</w:t>
      </w:r>
      <w:r w:rsidR="0056000A" w:rsidRPr="0072397D">
        <w:t>.3.1. Les coupures d’électricité dans les ménages</w:t>
      </w:r>
      <w:bookmarkEnd w:id="201"/>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Depuis quelques années, le Bénin connait des délestages électriques qui se manifestent par des coupures intempestives et des chutes de tension qui ne restent pas sans conséquence sur le quotidien des usagers. Selon les statistiques de la SBEE, sur la période 1999-2012 (non compris les années 2009 et 2010), on dénombre en moyenne 1223 coupures non programmés par an soit en moyenne 3,4 coupures par jour. Toujours d’après les données de la SBEE, les coupures d’électricité sur la même période durent en moyenne 48179 minutes par an soit en moyenne 132 minute par jour ou encore 2 heures et 12 minutes par jour. L’enquête sur la consommation d’électricité au Bénin a également collecté des données sur les coupures d’électricité dans les ménages. Il en ressort que les ménages subissent en moyenne 5,2 coupures d’électricité par semaine et chaque coupure dure en moyenne 151 minutes soit 2heures et 30 minutes par jour.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Par ailleurs, de l’avis des ménages, la plus courte coupure d’électricité dure en moyenne 22 minutes tandis que la plus longue coupure qu’ont connue les ménages, dure en moyenne 92 heures soit environ 4 jours.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4" w:name="_Toc426359358"/>
      <w:r w:rsidRPr="001B76BE">
        <w:rPr>
          <w:rFonts w:ascii="Trebuchet MS" w:hAnsi="Trebuchet MS"/>
          <w:szCs w:val="24"/>
        </w:rPr>
        <w:t xml:space="preserve">Tableau </w:t>
      </w:r>
      <w:r w:rsidR="00792500" w:rsidRPr="001B76BE">
        <w:rPr>
          <w:rFonts w:ascii="Trebuchet MS" w:hAnsi="Trebuchet MS"/>
          <w:szCs w:val="24"/>
        </w:rPr>
        <w:fldChar w:fldCharType="begin"/>
      </w:r>
      <w:r w:rsidRPr="001B76BE">
        <w:rPr>
          <w:rFonts w:ascii="Trebuchet MS" w:hAnsi="Trebuchet MS"/>
          <w:szCs w:val="24"/>
        </w:rPr>
        <w:instrText xml:space="preserve"> SEQ Tableau \* ARABIC </w:instrText>
      </w:r>
      <w:r w:rsidR="00792500" w:rsidRPr="001B76BE">
        <w:rPr>
          <w:rFonts w:ascii="Trebuchet MS" w:hAnsi="Trebuchet MS"/>
          <w:szCs w:val="24"/>
        </w:rPr>
        <w:fldChar w:fldCharType="separate"/>
      </w:r>
      <w:r w:rsidR="00556962">
        <w:rPr>
          <w:rFonts w:ascii="Trebuchet MS" w:hAnsi="Trebuchet MS"/>
          <w:noProof/>
          <w:szCs w:val="24"/>
        </w:rPr>
        <w:t>39</w:t>
      </w:r>
      <w:r w:rsidR="00792500"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Quelques indicateurs sur les coupures d’électricité</w:t>
      </w:r>
      <w:bookmarkEnd w:id="204"/>
    </w:p>
    <w:tbl>
      <w:tblPr>
        <w:tblStyle w:val="ENergiemnage"/>
        <w:tblW w:w="4876" w:type="pct"/>
        <w:tblBorders>
          <w:top w:val="double" w:sz="4" w:space="0" w:color="auto"/>
          <w:bottom w:val="double" w:sz="4" w:space="0" w:color="auto"/>
        </w:tblBorders>
        <w:tblLayout w:type="fixed"/>
        <w:tblLook w:val="04A0" w:firstRow="1" w:lastRow="0" w:firstColumn="1" w:lastColumn="0" w:noHBand="0" w:noVBand="1"/>
      </w:tblPr>
      <w:tblGrid>
        <w:gridCol w:w="2129"/>
        <w:gridCol w:w="1471"/>
        <w:gridCol w:w="1320"/>
        <w:gridCol w:w="2126"/>
        <w:gridCol w:w="2010"/>
      </w:tblGrid>
      <w:tr w:rsidR="0056000A" w:rsidRPr="00B96C46" w:rsidTr="00B12BA8">
        <w:trPr>
          <w:trHeight w:val="868"/>
        </w:trPr>
        <w:tc>
          <w:tcPr>
            <w:tcW w:w="1175" w:type="pct"/>
            <w:tcBorders>
              <w:top w:val="double" w:sz="4" w:space="0" w:color="auto"/>
              <w:bottom w:val="single" w:sz="4" w:space="0" w:color="auto"/>
            </w:tcBorders>
            <w:noWrap/>
            <w:hideMark/>
          </w:tcPr>
          <w:p w:rsidR="0056000A" w:rsidRPr="00B96C46" w:rsidRDefault="0056000A" w:rsidP="001B76BE">
            <w:pPr>
              <w:keepNext/>
              <w:spacing w:after="0"/>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w:t>
            </w:r>
          </w:p>
        </w:tc>
        <w:tc>
          <w:tcPr>
            <w:tcW w:w="812"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Nombre moyen de coupure d'électricité par semaine dans le ménage</w:t>
            </w:r>
          </w:p>
        </w:tc>
        <w:tc>
          <w:tcPr>
            <w:tcW w:w="729"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d'une coupure d'électricité (en Minutes)</w:t>
            </w:r>
          </w:p>
        </w:tc>
        <w:tc>
          <w:tcPr>
            <w:tcW w:w="1174"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de la plus longue coupure d'électricité dans le ménage en 2014 (en Heures)</w:t>
            </w:r>
          </w:p>
        </w:tc>
        <w:tc>
          <w:tcPr>
            <w:tcW w:w="1110"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de la plus courte coupure d'électricité dans le ménage en 2014 (en Minutes)</w:t>
            </w:r>
          </w:p>
        </w:tc>
      </w:tr>
      <w:tr w:rsidR="0056000A" w:rsidRPr="00B96C46" w:rsidTr="00B12BA8">
        <w:trPr>
          <w:trHeight w:val="243"/>
        </w:trPr>
        <w:tc>
          <w:tcPr>
            <w:tcW w:w="1175"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Milieu de résidence</w:t>
            </w:r>
          </w:p>
        </w:tc>
        <w:tc>
          <w:tcPr>
            <w:tcW w:w="812"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729"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1174"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1110"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Urbain</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24</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Rural</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4,9</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Type de connexion</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directe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23</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sous-traitée </w:t>
            </w:r>
          </w:p>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(toile d'araignée)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5,3</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20</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Département de </w:t>
            </w:r>
          </w:p>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résidence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ALIBORI</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497</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85</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ATACORA</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ATLANTIQUE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133</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BORGOU</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97</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84</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COLLINES</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127</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250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COUFFO</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DONGA</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LITTORAL</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MONO</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OUEME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149</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26</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PLATEAU</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w:t>
            </w:r>
          </w:p>
        </w:tc>
      </w:tr>
      <w:tr w:rsidR="0056000A" w:rsidRPr="00B96C46" w:rsidTr="00B12BA8">
        <w:trPr>
          <w:trHeight w:val="243"/>
        </w:trPr>
        <w:tc>
          <w:tcPr>
            <w:tcW w:w="1175" w:type="pct"/>
            <w:tcBorders>
              <w:bottom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ZOU</w:t>
            </w:r>
          </w:p>
        </w:tc>
        <w:tc>
          <w:tcPr>
            <w:tcW w:w="812"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148</w:t>
            </w:r>
          </w:p>
        </w:tc>
        <w:tc>
          <w:tcPr>
            <w:tcW w:w="1174"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170</w:t>
            </w:r>
          </w:p>
        </w:tc>
        <w:tc>
          <w:tcPr>
            <w:tcW w:w="1110"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w:t>
            </w:r>
          </w:p>
        </w:tc>
      </w:tr>
      <w:tr w:rsidR="0056000A" w:rsidRPr="00B96C46" w:rsidTr="00B12BA8">
        <w:trPr>
          <w:trHeight w:val="243"/>
        </w:trPr>
        <w:tc>
          <w:tcPr>
            <w:tcW w:w="1175" w:type="pct"/>
            <w:tcBorders>
              <w:top w:val="single" w:sz="4" w:space="0" w:color="auto"/>
              <w:bottom w:val="doub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se basant sur les informations collectées auprès des ménages, on pourrait caractériser les coupures d’électricité en disant qu’on en enregistre en moyenne 5 par semaine et chacune d’elles dure en moyenne 2 heures et 30 minutes. Ces coupures ont souvent lieu la nuit et durant la saison des pluies.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5" w:name="_Toc426359359"/>
      <w:r w:rsidRPr="001B76BE">
        <w:rPr>
          <w:rFonts w:ascii="Trebuchet MS" w:hAnsi="Trebuchet MS"/>
          <w:szCs w:val="24"/>
        </w:rPr>
        <w:t xml:space="preserve">Tableau </w:t>
      </w:r>
      <w:r w:rsidR="00792500" w:rsidRPr="001B76BE">
        <w:rPr>
          <w:rFonts w:ascii="Trebuchet MS" w:hAnsi="Trebuchet MS"/>
          <w:szCs w:val="24"/>
        </w:rPr>
        <w:fldChar w:fldCharType="begin"/>
      </w:r>
      <w:r w:rsidRPr="001B76BE">
        <w:rPr>
          <w:rFonts w:ascii="Trebuchet MS" w:hAnsi="Trebuchet MS"/>
          <w:szCs w:val="24"/>
        </w:rPr>
        <w:instrText xml:space="preserve"> SEQ Tableau \* ARABIC </w:instrText>
      </w:r>
      <w:r w:rsidR="00792500" w:rsidRPr="001B76BE">
        <w:rPr>
          <w:rFonts w:ascii="Trebuchet MS" w:hAnsi="Trebuchet MS"/>
          <w:szCs w:val="24"/>
        </w:rPr>
        <w:fldChar w:fldCharType="separate"/>
      </w:r>
      <w:r w:rsidR="00556962">
        <w:rPr>
          <w:rFonts w:ascii="Trebuchet MS" w:hAnsi="Trebuchet MS"/>
          <w:noProof/>
          <w:szCs w:val="24"/>
        </w:rPr>
        <w:t>40</w:t>
      </w:r>
      <w:r w:rsidR="00792500"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Périodes durant lesquelles ont lieu les coupures d’électricité</w:t>
      </w:r>
      <w:bookmarkEnd w:id="205"/>
    </w:p>
    <w:tbl>
      <w:tblPr>
        <w:tblStyle w:val="ENergiemnage"/>
        <w:tblW w:w="8267" w:type="dxa"/>
        <w:tblBorders>
          <w:top w:val="double" w:sz="4" w:space="0" w:color="auto"/>
          <w:bottom w:val="double" w:sz="4" w:space="0" w:color="auto"/>
        </w:tblBorders>
        <w:tblLook w:val="04A0" w:firstRow="1" w:lastRow="0" w:firstColumn="1" w:lastColumn="0" w:noHBand="0" w:noVBand="1"/>
      </w:tblPr>
      <w:tblGrid>
        <w:gridCol w:w="6250"/>
        <w:gridCol w:w="995"/>
        <w:gridCol w:w="1022"/>
      </w:tblGrid>
      <w:tr w:rsidR="0056000A" w:rsidRPr="00DE7C44" w:rsidTr="00B12BA8">
        <w:trPr>
          <w:trHeight w:val="328"/>
        </w:trPr>
        <w:tc>
          <w:tcPr>
            <w:tcW w:w="6250" w:type="dxa"/>
            <w:tcBorders>
              <w:top w:val="double" w:sz="4" w:space="0" w:color="auto"/>
              <w:bottom w:val="single" w:sz="4" w:space="0" w:color="auto"/>
            </w:tcBorders>
            <w:noWrap/>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Libellés</w:t>
            </w:r>
          </w:p>
        </w:tc>
        <w:tc>
          <w:tcPr>
            <w:tcW w:w="995" w:type="dxa"/>
            <w:tcBorders>
              <w:top w:val="double" w:sz="4" w:space="0" w:color="auto"/>
              <w:bottom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Effectif</w:t>
            </w:r>
          </w:p>
        </w:tc>
        <w:tc>
          <w:tcPr>
            <w:tcW w:w="1022" w:type="dxa"/>
            <w:tcBorders>
              <w:top w:val="double" w:sz="4" w:space="0" w:color="auto"/>
              <w:bottom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Part (%)</w:t>
            </w:r>
          </w:p>
        </w:tc>
      </w:tr>
      <w:tr w:rsidR="0056000A" w:rsidRPr="00DE7C44" w:rsidTr="00B12BA8">
        <w:trPr>
          <w:trHeight w:val="231"/>
        </w:trPr>
        <w:tc>
          <w:tcPr>
            <w:tcW w:w="6250" w:type="dxa"/>
            <w:tcBorders>
              <w:top w:val="single" w:sz="4" w:space="0" w:color="auto"/>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Saison où les coupures affectent le plus le ménage</w:t>
            </w:r>
          </w:p>
        </w:tc>
        <w:tc>
          <w:tcPr>
            <w:tcW w:w="995" w:type="dxa"/>
            <w:tcBorders>
              <w:top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r>
      <w:tr w:rsidR="0056000A" w:rsidRPr="00DE7C44" w:rsidTr="00B12BA8">
        <w:trPr>
          <w:trHeight w:val="241"/>
        </w:trPr>
        <w:tc>
          <w:tcPr>
            <w:tcW w:w="6250" w:type="dxa"/>
            <w:tcBorders>
              <w:top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Saison des pluies</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735</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55,5</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Saison sèche</w:t>
            </w:r>
          </w:p>
        </w:tc>
        <w:tc>
          <w:tcPr>
            <w:tcW w:w="995" w:type="dxa"/>
            <w:tcBorders>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410</w:t>
            </w:r>
          </w:p>
        </w:tc>
        <w:tc>
          <w:tcPr>
            <w:tcW w:w="1022" w:type="dxa"/>
            <w:tcBorders>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30,9</w:t>
            </w:r>
          </w:p>
        </w:tc>
      </w:tr>
      <w:tr w:rsidR="0056000A" w:rsidRPr="00DE7C44" w:rsidTr="00B12BA8">
        <w:trPr>
          <w:trHeight w:val="241"/>
        </w:trPr>
        <w:tc>
          <w:tcPr>
            <w:tcW w:w="6250" w:type="dxa"/>
            <w:tcBorders>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Non déclaré</w:t>
            </w:r>
          </w:p>
        </w:tc>
        <w:tc>
          <w:tcPr>
            <w:tcW w:w="995" w:type="dxa"/>
            <w:tcBorders>
              <w:top w:val="nil"/>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180</w:t>
            </w:r>
          </w:p>
        </w:tc>
        <w:tc>
          <w:tcPr>
            <w:tcW w:w="1022" w:type="dxa"/>
            <w:tcBorders>
              <w:top w:val="nil"/>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13,6</w:t>
            </w:r>
          </w:p>
        </w:tc>
      </w:tr>
      <w:tr w:rsidR="0056000A" w:rsidRPr="00DE7C44" w:rsidTr="00B12BA8">
        <w:trPr>
          <w:trHeight w:val="241"/>
        </w:trPr>
        <w:tc>
          <w:tcPr>
            <w:tcW w:w="6250" w:type="dxa"/>
            <w:tcBorders>
              <w:top w:val="single" w:sz="4" w:space="0" w:color="auto"/>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Période de la journée où les coupures affectent le plus le ménage</w:t>
            </w:r>
          </w:p>
        </w:tc>
        <w:tc>
          <w:tcPr>
            <w:tcW w:w="995" w:type="dxa"/>
            <w:tcBorders>
              <w:top w:val="nil"/>
              <w:bottom w:val="nil"/>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nil"/>
              <w:bottom w:val="nil"/>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r>
      <w:tr w:rsidR="0056000A" w:rsidRPr="00DE7C44" w:rsidTr="00B12BA8">
        <w:trPr>
          <w:trHeight w:val="241"/>
        </w:trPr>
        <w:tc>
          <w:tcPr>
            <w:tcW w:w="6250" w:type="dxa"/>
            <w:tcBorders>
              <w:top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 matinée</w:t>
            </w:r>
          </w:p>
        </w:tc>
        <w:tc>
          <w:tcPr>
            <w:tcW w:w="995" w:type="dxa"/>
            <w:tcBorders>
              <w:top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100</w:t>
            </w:r>
          </w:p>
        </w:tc>
        <w:tc>
          <w:tcPr>
            <w:tcW w:w="1022" w:type="dxa"/>
            <w:tcBorders>
              <w:top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7,6</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l’après-midi</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168</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12,7</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 nuit</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951</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71,8</w:t>
            </w:r>
          </w:p>
        </w:tc>
      </w:tr>
      <w:tr w:rsidR="0056000A" w:rsidRPr="00DE7C44" w:rsidTr="00B12BA8">
        <w:trPr>
          <w:trHeight w:val="241"/>
        </w:trPr>
        <w:tc>
          <w:tcPr>
            <w:tcW w:w="6250" w:type="dxa"/>
            <w:tcBorders>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Non déclaré</w:t>
            </w:r>
          </w:p>
        </w:tc>
        <w:tc>
          <w:tcPr>
            <w:tcW w:w="995" w:type="dxa"/>
            <w:tcBorders>
              <w:bottom w:val="sing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106</w:t>
            </w:r>
          </w:p>
        </w:tc>
        <w:tc>
          <w:tcPr>
            <w:tcW w:w="1022" w:type="dxa"/>
            <w:tcBorders>
              <w:bottom w:val="sing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8,0</w:t>
            </w:r>
          </w:p>
        </w:tc>
      </w:tr>
      <w:tr w:rsidR="0056000A" w:rsidRPr="00DE7C44" w:rsidTr="00B12BA8">
        <w:trPr>
          <w:trHeight w:val="241"/>
        </w:trPr>
        <w:tc>
          <w:tcPr>
            <w:tcW w:w="6250" w:type="dxa"/>
            <w:tcBorders>
              <w:top w:val="single" w:sz="4" w:space="0" w:color="auto"/>
              <w:bottom w:val="doub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995" w:type="dxa"/>
            <w:tcBorders>
              <w:top w:val="single" w:sz="4" w:space="0" w:color="auto"/>
              <w:bottom w:val="doub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1325</w:t>
            </w:r>
          </w:p>
        </w:tc>
        <w:tc>
          <w:tcPr>
            <w:tcW w:w="1022" w:type="dxa"/>
            <w:tcBorders>
              <w:top w:val="single" w:sz="4" w:space="0" w:color="auto"/>
              <w:bottom w:val="doub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100,0</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E268F8" w:rsidRDefault="0056000A" w:rsidP="0056000A">
      <w:pPr>
        <w:tabs>
          <w:tab w:val="right" w:pos="9072"/>
        </w:tabs>
        <w:spacing w:before="240"/>
        <w:jc w:val="both"/>
        <w:rPr>
          <w:rFonts w:ascii="Trebuchet MS" w:hAnsi="Trebuchet MS"/>
        </w:rPr>
      </w:pPr>
      <w:r w:rsidRPr="00167492">
        <w:rPr>
          <w:rFonts w:ascii="Trebuchet MS" w:hAnsi="Trebuchet MS"/>
        </w:rPr>
        <w:t xml:space="preserve">Les coupures d’électricité créent souvent des dommages aux usagers qui, une fois prévenus, auraient pu prendre des dispositions pour sécuriser leurs équipements et installations. Ils auraient ainsi eu l’occasion d’anticiper pour atténuer les effets des coupures sur leurs activités. Cependant, les ménages sont généralement surpris par les coupures. En effet, plus de 8 ménages sur 10 ne sont pas informés au préalable des coupures d’électricité. Ceci pose la problématique de la capacité de la SBEE à anticiper à son niveau sur les coupures d’électricité avant de pouvoir informer ses usagers. </w:t>
      </w:r>
    </w:p>
    <w:p w:rsidR="0056000A" w:rsidRPr="001B76BE" w:rsidRDefault="001B76BE" w:rsidP="001B76BE">
      <w:pPr>
        <w:pStyle w:val="Lgende"/>
        <w:keepNext/>
        <w:spacing w:after="0"/>
        <w:rPr>
          <w:rFonts w:ascii="Trebuchet MS" w:eastAsia="Times New Roman" w:hAnsi="Trebuchet MS" w:cs="Calibri"/>
          <w:bCs w:val="0"/>
          <w:color w:val="000000"/>
          <w:lang w:eastAsia="fr-FR"/>
        </w:rPr>
      </w:pPr>
      <w:bookmarkStart w:id="206" w:name="_Toc426359360"/>
      <w:r w:rsidRPr="001B76BE">
        <w:rPr>
          <w:rFonts w:ascii="Trebuchet MS" w:eastAsia="Times New Roman" w:hAnsi="Trebuchet MS" w:cs="Calibri"/>
          <w:bCs w:val="0"/>
          <w:color w:val="000000"/>
          <w:lang w:eastAsia="fr-FR"/>
        </w:rPr>
        <w:t xml:space="preserve">Tableau </w:t>
      </w:r>
      <w:r w:rsidR="00792500" w:rsidRPr="001B76BE">
        <w:rPr>
          <w:rFonts w:ascii="Trebuchet MS" w:eastAsia="Times New Roman" w:hAnsi="Trebuchet MS" w:cs="Calibri"/>
          <w:bCs w:val="0"/>
          <w:color w:val="000000"/>
          <w:lang w:eastAsia="fr-FR"/>
        </w:rPr>
        <w:fldChar w:fldCharType="begin"/>
      </w:r>
      <w:r w:rsidRPr="001B76BE">
        <w:rPr>
          <w:rFonts w:ascii="Trebuchet MS" w:eastAsia="Times New Roman" w:hAnsi="Trebuchet MS" w:cs="Calibri"/>
          <w:bCs w:val="0"/>
          <w:color w:val="000000"/>
          <w:lang w:eastAsia="fr-FR"/>
        </w:rPr>
        <w:instrText xml:space="preserve"> SEQ Tableau \* ARABIC </w:instrText>
      </w:r>
      <w:r w:rsidR="00792500" w:rsidRPr="001B76BE">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41</w:t>
      </w:r>
      <w:r w:rsidR="00792500" w:rsidRPr="001B76BE">
        <w:rPr>
          <w:rFonts w:ascii="Trebuchet MS" w:eastAsia="Times New Roman" w:hAnsi="Trebuchet MS" w:cs="Calibri"/>
          <w:bCs w:val="0"/>
          <w:color w:val="000000"/>
          <w:lang w:eastAsia="fr-FR"/>
        </w:rPr>
        <w:fldChar w:fldCharType="end"/>
      </w:r>
      <w:r w:rsidRPr="001B76BE">
        <w:rPr>
          <w:rFonts w:ascii="Trebuchet MS" w:eastAsia="Times New Roman" w:hAnsi="Trebuchet MS" w:cs="Calibri"/>
          <w:bCs w:val="0"/>
          <w:color w:val="000000"/>
          <w:lang w:eastAsia="fr-FR"/>
        </w:rPr>
        <w:t xml:space="preserve"> : </w:t>
      </w:r>
      <w:r w:rsidR="0056000A" w:rsidRPr="001B76BE">
        <w:rPr>
          <w:rFonts w:ascii="Trebuchet MS" w:eastAsia="Times New Roman" w:hAnsi="Trebuchet MS" w:cs="Calibri"/>
          <w:bCs w:val="0"/>
          <w:color w:val="000000"/>
          <w:lang w:eastAsia="fr-FR"/>
        </w:rPr>
        <w:t>Avertissement des ménages par la SBEE/Fournisseurs sur les coupures d’électricité</w:t>
      </w:r>
      <w:bookmarkEnd w:id="206"/>
    </w:p>
    <w:tbl>
      <w:tblPr>
        <w:tblStyle w:val="ENergiemnage"/>
        <w:tblW w:w="7660" w:type="dxa"/>
        <w:tblBorders>
          <w:top w:val="double" w:sz="4" w:space="0" w:color="auto"/>
          <w:bottom w:val="double" w:sz="4" w:space="0" w:color="auto"/>
        </w:tblBorders>
        <w:tblLook w:val="04A0" w:firstRow="1" w:lastRow="0" w:firstColumn="1" w:lastColumn="0" w:noHBand="0" w:noVBand="1"/>
      </w:tblPr>
      <w:tblGrid>
        <w:gridCol w:w="5260"/>
        <w:gridCol w:w="1200"/>
        <w:gridCol w:w="1200"/>
      </w:tblGrid>
      <w:tr w:rsidR="0056000A" w:rsidRPr="003D0328" w:rsidTr="00B12BA8">
        <w:trPr>
          <w:trHeight w:val="261"/>
        </w:trPr>
        <w:tc>
          <w:tcPr>
            <w:tcW w:w="5260" w:type="dxa"/>
            <w:tcBorders>
              <w:top w:val="double" w:sz="4" w:space="0" w:color="auto"/>
              <w:bottom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Les ménages sont-ils informés à l’avance ?</w:t>
            </w:r>
          </w:p>
        </w:tc>
        <w:tc>
          <w:tcPr>
            <w:tcW w:w="1200" w:type="dxa"/>
            <w:tcBorders>
              <w:top w:val="double" w:sz="4" w:space="0" w:color="auto"/>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Effectif</w:t>
            </w:r>
          </w:p>
        </w:tc>
        <w:tc>
          <w:tcPr>
            <w:tcW w:w="1200" w:type="dxa"/>
            <w:tcBorders>
              <w:top w:val="double" w:sz="4" w:space="0" w:color="auto"/>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Part (%)</w:t>
            </w:r>
          </w:p>
        </w:tc>
      </w:tr>
      <w:tr w:rsidR="0056000A" w:rsidRPr="003D0328" w:rsidTr="00B12BA8">
        <w:trPr>
          <w:trHeight w:val="261"/>
        </w:trPr>
        <w:tc>
          <w:tcPr>
            <w:tcW w:w="5260" w:type="dxa"/>
            <w:tcBorders>
              <w:top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jamais informé des coupures</w:t>
            </w:r>
          </w:p>
        </w:tc>
        <w:tc>
          <w:tcPr>
            <w:tcW w:w="1200" w:type="dxa"/>
            <w:tcBorders>
              <w:top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902</w:t>
            </w:r>
          </w:p>
        </w:tc>
        <w:tc>
          <w:tcPr>
            <w:tcW w:w="1200" w:type="dxa"/>
            <w:tcBorders>
              <w:top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68,1</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pas souvent informé des coupures</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178</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13,4</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parfois informé</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196</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14,8</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toujours informé des périodes de coupure</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0,5</w:t>
            </w:r>
          </w:p>
        </w:tc>
      </w:tr>
      <w:tr w:rsidR="0056000A" w:rsidRPr="003D0328" w:rsidTr="00B12BA8">
        <w:trPr>
          <w:trHeight w:val="261"/>
        </w:trPr>
        <w:tc>
          <w:tcPr>
            <w:tcW w:w="5260" w:type="dxa"/>
            <w:tcBorders>
              <w:bottom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42</w:t>
            </w:r>
          </w:p>
        </w:tc>
        <w:tc>
          <w:tcPr>
            <w:tcW w:w="1200" w:type="dxa"/>
            <w:tcBorders>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3,2</w:t>
            </w:r>
          </w:p>
        </w:tc>
      </w:tr>
      <w:tr w:rsidR="0056000A" w:rsidRPr="003D0328" w:rsidTr="00B12BA8">
        <w:trPr>
          <w:trHeight w:val="261"/>
        </w:trPr>
        <w:tc>
          <w:tcPr>
            <w:tcW w:w="5260" w:type="dxa"/>
            <w:tcBorders>
              <w:top w:val="single" w:sz="4" w:space="0" w:color="auto"/>
              <w:bottom w:val="doub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100,0</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Seuls 15% des ménages sont parfois informés ou toujours informés des coupures. La radio (69,0%) et la télévision (31,2%) constituent les principaux canaux par lesquels les ménages sont informés à l’avance des coupures. Très peu de ménages reçoivent l’information à travers la presse écrite (1,1%) ou par des messages (3,4%) envoyés par les réseaux GSM. </w:t>
      </w:r>
    </w:p>
    <w:p w:rsidR="0056000A" w:rsidRPr="0072397D" w:rsidRDefault="0056000A" w:rsidP="0056000A">
      <w:pPr>
        <w:tabs>
          <w:tab w:val="right" w:pos="9072"/>
        </w:tabs>
        <w:spacing w:before="240" w:after="0"/>
        <w:jc w:val="both"/>
        <w:rPr>
          <w:rFonts w:ascii="Trebuchet MS" w:hAnsi="Trebuchet MS"/>
          <w:sz w:val="24"/>
          <w:szCs w:val="24"/>
        </w:rPr>
      </w:pPr>
      <w:r w:rsidRPr="00167492">
        <w:rPr>
          <w:rFonts w:ascii="Trebuchet MS" w:hAnsi="Trebuchet MS"/>
        </w:rPr>
        <w:t>Certains ménages sont également informés par des proches, des collègues ou amis, des ménages voisins ou encore par des crieurs publics.</w:t>
      </w:r>
    </w:p>
    <w:p w:rsidR="0056000A"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7" w:name="_Toc426359264"/>
      <w:r w:rsidRPr="001B76BE">
        <w:rPr>
          <w:rFonts w:ascii="Trebuchet MS" w:hAnsi="Trebuchet MS"/>
          <w:szCs w:val="24"/>
        </w:rPr>
        <w:t xml:space="preserve">Graphique </w:t>
      </w:r>
      <w:r w:rsidR="00792500" w:rsidRPr="001B76BE">
        <w:rPr>
          <w:rFonts w:ascii="Trebuchet MS" w:hAnsi="Trebuchet MS"/>
          <w:szCs w:val="24"/>
        </w:rPr>
        <w:fldChar w:fldCharType="begin"/>
      </w:r>
      <w:r w:rsidRPr="001B76BE">
        <w:rPr>
          <w:rFonts w:ascii="Trebuchet MS" w:hAnsi="Trebuchet MS"/>
          <w:szCs w:val="24"/>
        </w:rPr>
        <w:instrText xml:space="preserve"> SEQ Graphique \* ARABIC </w:instrText>
      </w:r>
      <w:r w:rsidR="00792500" w:rsidRPr="001B76BE">
        <w:rPr>
          <w:rFonts w:ascii="Trebuchet MS" w:hAnsi="Trebuchet MS"/>
          <w:szCs w:val="24"/>
        </w:rPr>
        <w:fldChar w:fldCharType="separate"/>
      </w:r>
      <w:r w:rsidR="00605DE4">
        <w:rPr>
          <w:rFonts w:ascii="Trebuchet MS" w:hAnsi="Trebuchet MS"/>
          <w:noProof/>
          <w:szCs w:val="24"/>
        </w:rPr>
        <w:t>10</w:t>
      </w:r>
      <w:r w:rsidR="00792500"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Canaux d’information des ménages sur les coupures</w:t>
      </w:r>
      <w:bookmarkEnd w:id="207"/>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Les coupures d’électricités ont un impact négatif sur le bien être des usagers. Elles perturbent l’évolution de leurs activités et causent par la même occasion d’énormes pertes à la communauté. L’énergie électrique est vitale pour la création de richesse et l’accélération de la croissance. C’est pourquoi les coupures d’électricité ont des répercussions sur de nombreuses branches activités.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Pour la majorité (77%) des ménages interrogés dans le cadre de cette enquête, les coupures d’électricité engendrent des difficultés à travailler à domicile. La deuxième nuisance causée par les coupures est qu’elles empêchent les apprenants d’étudier dans de bonnes conditions.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L’un des effets négatifs souvent attribués aux coupures d’électricité et confirmé par les ménages interrogés est qu’elles entrainent la destruction des équipements de loisir (67% des ménages) et augmentent par la même occasion les dépenses d’entretien et/ou de renouvellement des équipements domestiques (66%). La montée de l’insécurité après les coupures, a également été relevée par les ménages. Même si elles ont été évoquées dans des proportions moindres, les coupures contribuent parfois à dégrader la santé des membres du ménage (33%) et peuvent être à l’origine de pertes de revenu (38%).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line="240" w:lineRule="auto"/>
        <w:rPr>
          <w:rFonts w:ascii="Trebuchet MS" w:hAnsi="Trebuchet MS"/>
          <w:szCs w:val="24"/>
        </w:rPr>
      </w:pPr>
      <w:bookmarkStart w:id="208" w:name="_Toc426359265"/>
      <w:r w:rsidRPr="001B76BE">
        <w:rPr>
          <w:rFonts w:ascii="Trebuchet MS" w:hAnsi="Trebuchet MS"/>
          <w:szCs w:val="24"/>
        </w:rPr>
        <w:t xml:space="preserve">Graphique </w:t>
      </w:r>
      <w:r w:rsidR="00792500" w:rsidRPr="001B76BE">
        <w:rPr>
          <w:rFonts w:ascii="Trebuchet MS" w:hAnsi="Trebuchet MS"/>
          <w:szCs w:val="24"/>
        </w:rPr>
        <w:fldChar w:fldCharType="begin"/>
      </w:r>
      <w:r w:rsidRPr="001B76BE">
        <w:rPr>
          <w:rFonts w:ascii="Trebuchet MS" w:hAnsi="Trebuchet MS"/>
          <w:szCs w:val="24"/>
        </w:rPr>
        <w:instrText xml:space="preserve"> SEQ Graphique \* ARABIC </w:instrText>
      </w:r>
      <w:r w:rsidR="00792500" w:rsidRPr="001B76BE">
        <w:rPr>
          <w:rFonts w:ascii="Trebuchet MS" w:hAnsi="Trebuchet MS"/>
          <w:szCs w:val="24"/>
        </w:rPr>
        <w:fldChar w:fldCharType="separate"/>
      </w:r>
      <w:r w:rsidR="00605DE4">
        <w:rPr>
          <w:rFonts w:ascii="Trebuchet MS" w:hAnsi="Trebuchet MS"/>
          <w:noProof/>
          <w:szCs w:val="24"/>
        </w:rPr>
        <w:t>11</w:t>
      </w:r>
      <w:r w:rsidR="00792500"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Impact des coupures sur les ménages</w:t>
      </w:r>
      <w:bookmarkEnd w:id="208"/>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03270B" w:rsidRPr="0003270B" w:rsidRDefault="0003270B" w:rsidP="0003270B">
      <w:pPr>
        <w:tabs>
          <w:tab w:val="right" w:pos="9072"/>
        </w:tabs>
        <w:jc w:val="both"/>
        <w:rPr>
          <w:rFonts w:ascii="Trebuchet MS" w:hAnsi="Trebuchet MS"/>
        </w:rPr>
      </w:pPr>
    </w:p>
    <w:p w:rsidR="0056000A" w:rsidRPr="0072397D" w:rsidRDefault="0003270B" w:rsidP="00F03E08">
      <w:pPr>
        <w:pStyle w:val="Titre4"/>
      </w:pPr>
      <w:bookmarkStart w:id="209" w:name="_Toc426359471"/>
      <w:r>
        <w:t>3</w:t>
      </w:r>
      <w:r w:rsidR="0056000A" w:rsidRPr="0072397D">
        <w:t>.3.2. Situation des baisses de tension dans les ménages</w:t>
      </w:r>
      <w:bookmarkEnd w:id="209"/>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On parle de baisse de tension lorsqu’on note une réduction de la circulation du champ électrique le long d'un circuit. Elle se manifeste généralement par une diminution de l’éclairage ou par une baisse des performances des appareils électriques. Les chutes de tension constituent une réalité dans les ménages au Bénin. En effet, près de 55% des ménages connaissent des baisses de tension ; et pour 1 ménage sur 5 les baisses sont très accentuées.  </w:t>
      </w:r>
    </w:p>
    <w:p w:rsidR="0056000A" w:rsidRPr="0072397D" w:rsidRDefault="0056000A" w:rsidP="0056000A">
      <w:pPr>
        <w:tabs>
          <w:tab w:val="right" w:pos="9072"/>
        </w:tabs>
        <w:spacing w:after="0"/>
        <w:jc w:val="both"/>
        <w:rPr>
          <w:rFonts w:ascii="Trebuchet MS" w:hAnsi="Trebuchet MS"/>
          <w:sz w:val="24"/>
          <w:szCs w:val="24"/>
        </w:rPr>
      </w:pPr>
    </w:p>
    <w:p w:rsidR="0056000A" w:rsidRPr="0022022D" w:rsidRDefault="001B76BE" w:rsidP="00306394">
      <w:pPr>
        <w:pStyle w:val="Lgende"/>
        <w:keepNext/>
        <w:spacing w:after="0" w:line="240" w:lineRule="auto"/>
        <w:jc w:val="both"/>
        <w:rPr>
          <w:rFonts w:ascii="Trebuchet MS" w:eastAsia="Times New Roman" w:hAnsi="Trebuchet MS" w:cs="Calibri"/>
          <w:bCs w:val="0"/>
          <w:color w:val="000000"/>
          <w:lang w:eastAsia="fr-FR"/>
        </w:rPr>
      </w:pPr>
      <w:bookmarkStart w:id="210" w:name="_Toc426359266"/>
      <w:r w:rsidRPr="0022022D">
        <w:rPr>
          <w:rFonts w:ascii="Trebuchet MS" w:eastAsia="Times New Roman" w:hAnsi="Trebuchet MS" w:cs="Calibri"/>
          <w:bCs w:val="0"/>
          <w:color w:val="000000"/>
          <w:lang w:eastAsia="fr-FR"/>
        </w:rPr>
        <w:t xml:space="preserve">Graphique </w:t>
      </w:r>
      <w:r w:rsidR="00792500" w:rsidRPr="0022022D">
        <w:rPr>
          <w:rFonts w:ascii="Trebuchet MS" w:eastAsia="Times New Roman" w:hAnsi="Trebuchet MS" w:cs="Calibri"/>
          <w:bCs w:val="0"/>
          <w:color w:val="000000"/>
          <w:lang w:eastAsia="fr-FR"/>
        </w:rPr>
        <w:fldChar w:fldCharType="begin"/>
      </w:r>
      <w:r w:rsidRPr="0022022D">
        <w:rPr>
          <w:rFonts w:ascii="Trebuchet MS" w:eastAsia="Times New Roman" w:hAnsi="Trebuchet MS" w:cs="Calibri"/>
          <w:bCs w:val="0"/>
          <w:color w:val="000000"/>
          <w:lang w:eastAsia="fr-FR"/>
        </w:rPr>
        <w:instrText xml:space="preserve"> SEQ Graphique \* ARABIC </w:instrText>
      </w:r>
      <w:r w:rsidR="00792500" w:rsidRPr="0022022D">
        <w:rPr>
          <w:rFonts w:ascii="Trebuchet MS" w:eastAsia="Times New Roman" w:hAnsi="Trebuchet MS" w:cs="Calibri"/>
          <w:bCs w:val="0"/>
          <w:color w:val="000000"/>
          <w:lang w:eastAsia="fr-FR"/>
        </w:rPr>
        <w:fldChar w:fldCharType="separate"/>
      </w:r>
      <w:r w:rsidR="00605DE4">
        <w:rPr>
          <w:rFonts w:ascii="Trebuchet MS" w:eastAsia="Times New Roman" w:hAnsi="Trebuchet MS" w:cs="Calibri"/>
          <w:bCs w:val="0"/>
          <w:noProof/>
          <w:color w:val="000000"/>
          <w:lang w:eastAsia="fr-FR"/>
        </w:rPr>
        <w:t>12</w:t>
      </w:r>
      <w:r w:rsidR="00792500" w:rsidRPr="0022022D">
        <w:rPr>
          <w:rFonts w:ascii="Trebuchet MS" w:eastAsia="Times New Roman" w:hAnsi="Trebuchet MS" w:cs="Calibri"/>
          <w:bCs w:val="0"/>
          <w:color w:val="000000"/>
          <w:lang w:eastAsia="fr-FR"/>
        </w:rPr>
        <w:fldChar w:fldCharType="end"/>
      </w:r>
      <w:r w:rsidRPr="0022022D">
        <w:rPr>
          <w:rFonts w:ascii="Trebuchet MS" w:eastAsia="Times New Roman" w:hAnsi="Trebuchet MS" w:cs="Calibri"/>
          <w:bCs w:val="0"/>
          <w:color w:val="000000"/>
          <w:lang w:eastAsia="fr-FR"/>
        </w:rPr>
        <w:t xml:space="preserve"> : </w:t>
      </w:r>
      <w:r w:rsidR="0056000A" w:rsidRPr="001B76BE">
        <w:rPr>
          <w:rFonts w:ascii="Trebuchet MS" w:eastAsia="Times New Roman" w:hAnsi="Trebuchet MS" w:cs="Calibri"/>
          <w:bCs w:val="0"/>
          <w:color w:val="000000"/>
          <w:lang w:eastAsia="fr-FR"/>
        </w:rPr>
        <w:t>Existence ou non de baisse de tension selon le type de connexion du ménage</w:t>
      </w:r>
      <w:bookmarkEnd w:id="210"/>
    </w:p>
    <w:p w:rsidR="0056000A" w:rsidRDefault="0056000A" w:rsidP="0022022D">
      <w:pPr>
        <w:keepNext/>
        <w:spacing w:after="0"/>
        <w:rPr>
          <w:rFonts w:ascii="Trebuchet MS" w:hAnsi="Trebuchet MS"/>
        </w:rPr>
      </w:pPr>
      <w:r w:rsidRPr="0072397D">
        <w:rPr>
          <w:rFonts w:ascii="Trebuchet MS" w:hAnsi="Trebuchet MS"/>
          <w:noProof/>
          <w:lang w:eastAsia="fr-FR"/>
        </w:rPr>
        <w:drawing>
          <wp:inline distT="0" distB="0" distL="0" distR="0">
            <wp:extent cx="4572000" cy="2743200"/>
            <wp:effectExtent l="0" t="0" r="19050" b="19050"/>
            <wp:docPr id="19" name="Graphique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6000A" w:rsidRPr="0072397D" w:rsidRDefault="0056000A" w:rsidP="0022022D">
      <w:pPr>
        <w:keepNext/>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spacing w:before="240"/>
        <w:jc w:val="both"/>
        <w:rPr>
          <w:rFonts w:ascii="Trebuchet MS" w:hAnsi="Trebuchet MS"/>
        </w:rPr>
      </w:pPr>
      <w:r w:rsidRPr="00167492">
        <w:rPr>
          <w:rFonts w:ascii="Trebuchet MS" w:hAnsi="Trebuchet MS"/>
        </w:rPr>
        <w:t>Par rapport aux ménages directement raccordés, les ménages connectés aux toiles d’araignée enregistrent une plus forte proportion de ménages connaissant des baisses très accentuées (27,0% contre 17,7%). Ceci s’explique par la saturation des lignes sous-traitées. Rappelons que les lignes toile d’araignée alimentent en moyenne 5,8 ménages. En analysant en fonction du département de résidence, on note qu’à l’opposé des départements des Collines (32,4%) et du Zou (29,6%), ceux du Littoral (11,2%) et de l’Atacora (9,2%) présentent les plus faibles proportions de ménages subissant des baisses très accentuées.</w:t>
      </w:r>
    </w:p>
    <w:p w:rsidR="0056000A" w:rsidRPr="005E29AD" w:rsidRDefault="005E29AD" w:rsidP="00306394">
      <w:pPr>
        <w:pStyle w:val="Lgende"/>
        <w:keepNext/>
        <w:spacing w:after="0"/>
        <w:jc w:val="both"/>
        <w:rPr>
          <w:rFonts w:ascii="Trebuchet MS" w:eastAsia="Times New Roman" w:hAnsi="Trebuchet MS" w:cs="Calibri"/>
          <w:bCs w:val="0"/>
          <w:color w:val="000000"/>
          <w:lang w:eastAsia="fr-FR"/>
        </w:rPr>
      </w:pPr>
      <w:bookmarkStart w:id="211" w:name="_Toc426359267"/>
      <w:r w:rsidRPr="005E29AD">
        <w:rPr>
          <w:rFonts w:ascii="Trebuchet MS" w:eastAsia="Times New Roman" w:hAnsi="Trebuchet MS" w:cs="Calibri"/>
          <w:bCs w:val="0"/>
          <w:color w:val="000000"/>
          <w:lang w:eastAsia="fr-FR"/>
        </w:rPr>
        <w:t xml:space="preserve">Graphique </w:t>
      </w:r>
      <w:r w:rsidR="00792500" w:rsidRPr="005E29AD">
        <w:rPr>
          <w:rFonts w:ascii="Trebuchet MS" w:eastAsia="Times New Roman" w:hAnsi="Trebuchet MS" w:cs="Calibri"/>
          <w:bCs w:val="0"/>
          <w:color w:val="000000"/>
          <w:lang w:eastAsia="fr-FR"/>
        </w:rPr>
        <w:fldChar w:fldCharType="begin"/>
      </w:r>
      <w:r w:rsidRPr="005E29AD">
        <w:rPr>
          <w:rFonts w:ascii="Trebuchet MS" w:eastAsia="Times New Roman" w:hAnsi="Trebuchet MS" w:cs="Calibri"/>
          <w:bCs w:val="0"/>
          <w:color w:val="000000"/>
          <w:lang w:eastAsia="fr-FR"/>
        </w:rPr>
        <w:instrText xml:space="preserve"> SEQ Graphique \* ARABIC </w:instrText>
      </w:r>
      <w:r w:rsidR="00792500" w:rsidRPr="005E29AD">
        <w:rPr>
          <w:rFonts w:ascii="Trebuchet MS" w:eastAsia="Times New Roman" w:hAnsi="Trebuchet MS" w:cs="Calibri"/>
          <w:bCs w:val="0"/>
          <w:color w:val="000000"/>
          <w:lang w:eastAsia="fr-FR"/>
        </w:rPr>
        <w:fldChar w:fldCharType="separate"/>
      </w:r>
      <w:r w:rsidR="00605DE4">
        <w:rPr>
          <w:rFonts w:ascii="Trebuchet MS" w:eastAsia="Times New Roman" w:hAnsi="Trebuchet MS" w:cs="Calibri"/>
          <w:bCs w:val="0"/>
          <w:noProof/>
          <w:color w:val="000000"/>
          <w:lang w:eastAsia="fr-FR"/>
        </w:rPr>
        <w:t>13</w:t>
      </w:r>
      <w:r w:rsidR="00792500" w:rsidRPr="005E29AD">
        <w:rPr>
          <w:rFonts w:ascii="Trebuchet MS" w:eastAsia="Times New Roman" w:hAnsi="Trebuchet MS" w:cs="Calibri"/>
          <w:bCs w:val="0"/>
          <w:color w:val="000000"/>
          <w:lang w:eastAsia="fr-FR"/>
        </w:rPr>
        <w:fldChar w:fldCharType="end"/>
      </w:r>
      <w:r w:rsidRPr="005E29AD">
        <w:rPr>
          <w:rFonts w:ascii="Trebuchet MS" w:eastAsia="Times New Roman" w:hAnsi="Trebuchet MS" w:cs="Calibri"/>
          <w:bCs w:val="0"/>
          <w:color w:val="000000"/>
          <w:lang w:eastAsia="fr-FR"/>
        </w:rPr>
        <w:t xml:space="preserve"> : </w:t>
      </w:r>
      <w:r w:rsidR="0056000A" w:rsidRPr="005E29AD">
        <w:rPr>
          <w:rFonts w:ascii="Trebuchet MS" w:eastAsia="Times New Roman" w:hAnsi="Trebuchet MS" w:cs="Calibri"/>
          <w:bCs w:val="0"/>
          <w:color w:val="000000"/>
          <w:lang w:eastAsia="fr-FR"/>
        </w:rPr>
        <w:t>Existence ou non de baisse de tension par département</w:t>
      </w:r>
      <w:bookmarkEnd w:id="211"/>
    </w:p>
    <w:p w:rsidR="0056000A" w:rsidRPr="0072397D" w:rsidRDefault="0056000A" w:rsidP="005E29AD">
      <w:pPr>
        <w:keepNext/>
        <w:spacing w:after="0"/>
        <w:rPr>
          <w:rFonts w:ascii="Trebuchet MS" w:hAnsi="Trebuchet MS"/>
        </w:rPr>
      </w:pPr>
      <w:r w:rsidRPr="0072397D">
        <w:rPr>
          <w:rFonts w:ascii="Trebuchet MS" w:hAnsi="Trebuchet MS"/>
          <w:noProof/>
          <w:lang w:eastAsia="fr-FR"/>
        </w:rPr>
        <w:drawing>
          <wp:inline distT="0" distB="0" distL="0" distR="0">
            <wp:extent cx="4572000" cy="2743200"/>
            <wp:effectExtent l="0" t="0" r="19050" b="19050"/>
            <wp:docPr id="20" name="Graphique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6000A" w:rsidRPr="0072397D" w:rsidRDefault="0056000A" w:rsidP="005E29AD">
      <w:pPr>
        <w:keepNext/>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jc w:val="both"/>
        <w:rPr>
          <w:rFonts w:ascii="Trebuchet MS" w:hAnsi="Trebuchet MS"/>
        </w:rPr>
      </w:pPr>
      <w:r w:rsidRPr="00167492">
        <w:rPr>
          <w:rFonts w:ascii="Trebuchet MS" w:hAnsi="Trebuchet MS"/>
        </w:rPr>
        <w:t xml:space="preserve">Tout comme pour les coupures d’électricité, la plupart (75%) des ménages estiment que les baisses de tension ont lieu pendant la nuit. C’est en effet une période de pointe où la plupart des membres du ménage regagnent leurs domiciles et où la demande d’électricité atteint son pic. </w:t>
      </w:r>
    </w:p>
    <w:p w:rsidR="0056000A" w:rsidRPr="00167492" w:rsidRDefault="0056000A" w:rsidP="0056000A">
      <w:pPr>
        <w:jc w:val="both"/>
        <w:rPr>
          <w:rFonts w:ascii="Trebuchet MS" w:hAnsi="Trebuchet MS"/>
        </w:rPr>
      </w:pPr>
      <w:r w:rsidRPr="00167492">
        <w:rPr>
          <w:rFonts w:ascii="Trebuchet MS" w:hAnsi="Trebuchet MS"/>
        </w:rPr>
        <w:t xml:space="preserve">Sur 168 ménages qui connaissent des baisses de tension très accentuées chaque jour, 89 sont raccordés aux toiles d’araignée soit 53% des ménages connectés. De plus 60% de ces ménages sont concentrés dans les départements des collines (19,6%), de l’Atlantique (20,8%) et du Zou (19,6%). </w:t>
      </w:r>
    </w:p>
    <w:p w:rsidR="0056000A" w:rsidRPr="00983887" w:rsidRDefault="00983887" w:rsidP="00306394">
      <w:pPr>
        <w:pStyle w:val="Lgende"/>
        <w:keepNext/>
        <w:spacing w:after="0" w:line="240" w:lineRule="auto"/>
        <w:jc w:val="both"/>
        <w:rPr>
          <w:rFonts w:ascii="Trebuchet MS" w:hAnsi="Trebuchet MS"/>
        </w:rPr>
      </w:pPr>
      <w:bookmarkStart w:id="212" w:name="_Toc426359361"/>
      <w:r w:rsidRPr="00983887">
        <w:rPr>
          <w:rFonts w:ascii="Trebuchet MS" w:hAnsi="Trebuchet MS"/>
        </w:rPr>
        <w:t xml:space="preserve">Tableau </w:t>
      </w:r>
      <w:r w:rsidR="00792500" w:rsidRPr="00983887">
        <w:rPr>
          <w:rFonts w:ascii="Trebuchet MS" w:hAnsi="Trebuchet MS"/>
        </w:rPr>
        <w:fldChar w:fldCharType="begin"/>
      </w:r>
      <w:r w:rsidRPr="00983887">
        <w:rPr>
          <w:rFonts w:ascii="Trebuchet MS" w:hAnsi="Trebuchet MS"/>
        </w:rPr>
        <w:instrText xml:space="preserve"> SEQ Tableau \* ARABIC </w:instrText>
      </w:r>
      <w:r w:rsidR="00792500" w:rsidRPr="00983887">
        <w:rPr>
          <w:rFonts w:ascii="Trebuchet MS" w:hAnsi="Trebuchet MS"/>
        </w:rPr>
        <w:fldChar w:fldCharType="separate"/>
      </w:r>
      <w:r w:rsidR="00556962">
        <w:rPr>
          <w:rFonts w:ascii="Trebuchet MS" w:hAnsi="Trebuchet MS"/>
          <w:noProof/>
        </w:rPr>
        <w:t>42</w:t>
      </w:r>
      <w:r w:rsidR="00792500"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Fréquence des baisses de tension et leur période d’apparition</w:t>
      </w:r>
      <w:bookmarkEnd w:id="212"/>
    </w:p>
    <w:tbl>
      <w:tblPr>
        <w:tblStyle w:val="ENergiemnage"/>
        <w:tblW w:w="7298" w:type="dxa"/>
        <w:tblBorders>
          <w:top w:val="double" w:sz="4" w:space="0" w:color="auto"/>
          <w:bottom w:val="double" w:sz="4" w:space="0" w:color="auto"/>
        </w:tblBorders>
        <w:tblLook w:val="04A0" w:firstRow="1" w:lastRow="0" w:firstColumn="1" w:lastColumn="0" w:noHBand="0" w:noVBand="1"/>
      </w:tblPr>
      <w:tblGrid>
        <w:gridCol w:w="5281"/>
        <w:gridCol w:w="995"/>
        <w:gridCol w:w="1022"/>
      </w:tblGrid>
      <w:tr w:rsidR="0056000A" w:rsidRPr="003D0328" w:rsidTr="00B12BA8">
        <w:trPr>
          <w:trHeight w:val="262"/>
        </w:trPr>
        <w:tc>
          <w:tcPr>
            <w:tcW w:w="5281" w:type="dxa"/>
            <w:tcBorders>
              <w:top w:val="double" w:sz="4" w:space="0" w:color="auto"/>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Libellés</w:t>
            </w:r>
          </w:p>
        </w:tc>
        <w:tc>
          <w:tcPr>
            <w:tcW w:w="995" w:type="dxa"/>
            <w:tcBorders>
              <w:top w:val="double" w:sz="4" w:space="0" w:color="auto"/>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Effectif</w:t>
            </w:r>
          </w:p>
        </w:tc>
        <w:tc>
          <w:tcPr>
            <w:tcW w:w="1022" w:type="dxa"/>
            <w:tcBorders>
              <w:top w:val="double" w:sz="4" w:space="0" w:color="auto"/>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Part (%)</w:t>
            </w:r>
          </w:p>
        </w:tc>
      </w:tr>
      <w:tr w:rsidR="0056000A" w:rsidRPr="003D0328" w:rsidTr="00B12BA8">
        <w:trPr>
          <w:trHeight w:val="262"/>
        </w:trPr>
        <w:tc>
          <w:tcPr>
            <w:tcW w:w="5281" w:type="dxa"/>
            <w:tcBorders>
              <w:top w:val="single" w:sz="4" w:space="0" w:color="auto"/>
              <w:bottom w:val="single" w:sz="4" w:space="0" w:color="auto"/>
            </w:tcBorders>
            <w:noWrap/>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Fréquence des baisses de tension dans le ménage</w:t>
            </w:r>
          </w:p>
        </w:tc>
        <w:tc>
          <w:tcPr>
            <w:tcW w:w="995" w:type="dxa"/>
            <w:tcBorders>
              <w:top w:val="single" w:sz="4" w:space="0" w:color="auto"/>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single" w:sz="4" w:space="0" w:color="auto"/>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r>
      <w:tr w:rsidR="0056000A" w:rsidRPr="003D0328" w:rsidTr="00B12BA8">
        <w:trPr>
          <w:trHeight w:val="262"/>
        </w:trPr>
        <w:tc>
          <w:tcPr>
            <w:tcW w:w="5281" w:type="dxa"/>
            <w:tcBorders>
              <w:top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Tous les jours</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207</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28,5</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Deux à trois fois par semaine</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225</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31,0</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Quelques fois par mois</w:t>
            </w:r>
          </w:p>
        </w:tc>
        <w:tc>
          <w:tcPr>
            <w:tcW w:w="995" w:type="dxa"/>
            <w:tcBorders>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270</w:t>
            </w:r>
          </w:p>
        </w:tc>
        <w:tc>
          <w:tcPr>
            <w:tcW w:w="1022" w:type="dxa"/>
            <w:tcBorders>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37,2</w:t>
            </w:r>
          </w:p>
        </w:tc>
      </w:tr>
      <w:tr w:rsidR="0056000A" w:rsidRPr="003D0328" w:rsidTr="00B12BA8">
        <w:trPr>
          <w:trHeight w:val="262"/>
        </w:trPr>
        <w:tc>
          <w:tcPr>
            <w:tcW w:w="5281" w:type="dxa"/>
            <w:tcBorders>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995" w:type="dxa"/>
            <w:tcBorders>
              <w:top w:val="nil"/>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24</w:t>
            </w:r>
          </w:p>
        </w:tc>
        <w:tc>
          <w:tcPr>
            <w:tcW w:w="1022" w:type="dxa"/>
            <w:tcBorders>
              <w:top w:val="nil"/>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3,3</w:t>
            </w:r>
          </w:p>
        </w:tc>
      </w:tr>
      <w:tr w:rsidR="0056000A" w:rsidRPr="003D0328" w:rsidTr="00B12BA8">
        <w:trPr>
          <w:trHeight w:val="262"/>
        </w:trPr>
        <w:tc>
          <w:tcPr>
            <w:tcW w:w="5281" w:type="dxa"/>
            <w:tcBorders>
              <w:top w:val="single" w:sz="4" w:space="0" w:color="auto"/>
              <w:bottom w:val="single" w:sz="4" w:space="0" w:color="auto"/>
            </w:tcBorders>
            <w:noWrap/>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Période de la journée où les baisses de tension ont lieu</w:t>
            </w:r>
          </w:p>
        </w:tc>
        <w:tc>
          <w:tcPr>
            <w:tcW w:w="995" w:type="dxa"/>
            <w:tcBorders>
              <w:top w:val="nil"/>
              <w:bottom w:val="nil"/>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nil"/>
              <w:bottom w:val="nil"/>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r>
      <w:tr w:rsidR="0056000A" w:rsidRPr="003D0328" w:rsidTr="00B12BA8">
        <w:trPr>
          <w:trHeight w:val="262"/>
        </w:trPr>
        <w:tc>
          <w:tcPr>
            <w:tcW w:w="5281" w:type="dxa"/>
            <w:tcBorders>
              <w:top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 matinée</w:t>
            </w:r>
          </w:p>
        </w:tc>
        <w:tc>
          <w:tcPr>
            <w:tcW w:w="995" w:type="dxa"/>
            <w:tcBorders>
              <w:top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40</w:t>
            </w:r>
          </w:p>
        </w:tc>
        <w:tc>
          <w:tcPr>
            <w:tcW w:w="1022" w:type="dxa"/>
            <w:tcBorders>
              <w:top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5,5</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l’après-midi</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90</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12,4</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 nuit</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548</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75,5</w:t>
            </w:r>
          </w:p>
        </w:tc>
      </w:tr>
      <w:tr w:rsidR="0056000A" w:rsidRPr="003D0328" w:rsidTr="00B12BA8">
        <w:trPr>
          <w:trHeight w:val="262"/>
        </w:trPr>
        <w:tc>
          <w:tcPr>
            <w:tcW w:w="5281" w:type="dxa"/>
            <w:tcBorders>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995" w:type="dxa"/>
            <w:tcBorders>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48</w:t>
            </w:r>
          </w:p>
        </w:tc>
        <w:tc>
          <w:tcPr>
            <w:tcW w:w="1022" w:type="dxa"/>
            <w:tcBorders>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6,6</w:t>
            </w:r>
          </w:p>
        </w:tc>
      </w:tr>
      <w:tr w:rsidR="0056000A" w:rsidRPr="003D0328" w:rsidTr="00B12BA8">
        <w:trPr>
          <w:trHeight w:val="262"/>
        </w:trPr>
        <w:tc>
          <w:tcPr>
            <w:tcW w:w="5281" w:type="dxa"/>
            <w:tcBorders>
              <w:top w:val="single" w:sz="4" w:space="0" w:color="auto"/>
              <w:bottom w:val="doub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Total</w:t>
            </w:r>
          </w:p>
        </w:tc>
        <w:tc>
          <w:tcPr>
            <w:tcW w:w="995" w:type="dxa"/>
            <w:tcBorders>
              <w:top w:val="single" w:sz="4" w:space="0" w:color="auto"/>
              <w:bottom w:val="doub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726</w:t>
            </w:r>
          </w:p>
        </w:tc>
        <w:tc>
          <w:tcPr>
            <w:tcW w:w="1022" w:type="dxa"/>
            <w:tcBorders>
              <w:top w:val="single" w:sz="4" w:space="0" w:color="auto"/>
              <w:bottom w:val="doub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100,0</w:t>
            </w:r>
          </w:p>
        </w:tc>
      </w:tr>
    </w:tbl>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03270B" w:rsidP="0003270B">
      <w:pPr>
        <w:pStyle w:val="Titre3"/>
        <w:numPr>
          <w:ilvl w:val="0"/>
          <w:numId w:val="0"/>
        </w:numPr>
        <w:ind w:left="720" w:hanging="720"/>
      </w:pPr>
      <w:bookmarkStart w:id="213" w:name="_Toc426359404"/>
      <w:bookmarkStart w:id="214" w:name="_Toc426359472"/>
      <w:r>
        <w:t>3</w:t>
      </w:r>
      <w:r w:rsidR="0056000A" w:rsidRPr="0072397D">
        <w:t>.4. Appréciation de la qualité des services de la SBEE par les ménages</w:t>
      </w:r>
      <w:bookmarkEnd w:id="213"/>
      <w:bookmarkEnd w:id="214"/>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Il est question dans la présente section de recueillir l’avis des ménages sur la qualité des services de la SBEE. Cette enquête d’opinion révèle que globalement, les ménages sont mécontents des services de la SBEE. Ce sentiment est partagé par deux ménages sur trois enquêtés.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Mais le principal motif de frustration des ménages reste la durée de disponibilité de l’électricité qui a été évoquée par 78,1% d’entre eux. Le second point de désaccord est celui de la facturation. En effet, plus de 7 ménages sur 10 ne sont pas en phase avec la SBEE ou leur fournisseur sur la facturation. Ce résultat est en cohérence avec un enseignement tiré plus haut et qui montre que 2 ménages sur 3 estiment que leurs factures sont surestimées par rapport à leur consommation. Pourtant la SBEE a pris des dispositions pour assurer la transparence autour de la facturation. On retrouve par exemple sur son site internet ou encore au verseau des factures d’électricité, des informations détaillées sur le mode de facturation. </w:t>
      </w:r>
    </w:p>
    <w:p w:rsidR="0056000A" w:rsidRPr="0072397D" w:rsidRDefault="0056000A" w:rsidP="0056000A">
      <w:pPr>
        <w:tabs>
          <w:tab w:val="right" w:pos="9072"/>
        </w:tabs>
        <w:spacing w:after="0"/>
        <w:jc w:val="both"/>
        <w:rPr>
          <w:rFonts w:ascii="Trebuchet MS" w:hAnsi="Trebuchet MS"/>
          <w:sz w:val="24"/>
          <w:szCs w:val="24"/>
        </w:rPr>
      </w:pPr>
    </w:p>
    <w:p w:rsidR="0056000A" w:rsidRPr="00983887" w:rsidRDefault="00983887" w:rsidP="00306394">
      <w:pPr>
        <w:pStyle w:val="Lgende"/>
        <w:keepNext/>
        <w:spacing w:after="0"/>
        <w:jc w:val="both"/>
        <w:rPr>
          <w:rFonts w:ascii="Trebuchet MS" w:hAnsi="Trebuchet MS"/>
        </w:rPr>
      </w:pPr>
      <w:bookmarkStart w:id="215" w:name="_Toc426359268"/>
      <w:r w:rsidRPr="00983887">
        <w:rPr>
          <w:rFonts w:ascii="Trebuchet MS" w:hAnsi="Trebuchet MS"/>
        </w:rPr>
        <w:t xml:space="preserve">Graphique </w:t>
      </w:r>
      <w:r w:rsidR="00792500" w:rsidRPr="00983887">
        <w:rPr>
          <w:rFonts w:ascii="Trebuchet MS" w:hAnsi="Trebuchet MS"/>
        </w:rPr>
        <w:fldChar w:fldCharType="begin"/>
      </w:r>
      <w:r w:rsidRPr="00983887">
        <w:rPr>
          <w:rFonts w:ascii="Trebuchet MS" w:hAnsi="Trebuchet MS"/>
        </w:rPr>
        <w:instrText xml:space="preserve"> SEQ Graphique \* ARABIC </w:instrText>
      </w:r>
      <w:r w:rsidR="00792500" w:rsidRPr="00983887">
        <w:rPr>
          <w:rFonts w:ascii="Trebuchet MS" w:hAnsi="Trebuchet MS"/>
        </w:rPr>
        <w:fldChar w:fldCharType="separate"/>
      </w:r>
      <w:r w:rsidR="00605DE4">
        <w:rPr>
          <w:rFonts w:ascii="Trebuchet MS" w:hAnsi="Trebuchet MS"/>
          <w:noProof/>
        </w:rPr>
        <w:t>14</w:t>
      </w:r>
      <w:r w:rsidR="00792500"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Degré de satisfaction des ménages sur la qualité des services de la SBEE</w:t>
      </w:r>
      <w:bookmarkEnd w:id="215"/>
    </w:p>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6000A" w:rsidRPr="0072397D" w:rsidRDefault="0056000A" w:rsidP="00983887">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jc w:val="both"/>
        <w:rPr>
          <w:rFonts w:ascii="Trebuchet MS" w:hAnsi="Trebuchet MS"/>
        </w:rPr>
      </w:pPr>
      <w:r w:rsidRPr="00167492">
        <w:rPr>
          <w:rFonts w:ascii="Trebuchet MS" w:hAnsi="Trebuchet MS"/>
        </w:rPr>
        <w:t xml:space="preserve">Les ménages ont également des griefs contre la SBEE en ce qui concerne la réparation des pannes (60,4%), la prise en charge des plaintes (59,6%) et les délais de raccordement (56,8%). Pour rappel, la SBEE met en moyenne 37,1 semaines pour raccorder un ménage alors que les délais prévus sont beaucoup plus courts.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Lorsque l’on s’intéresse avec précision à l’appréciation des ménages, on constate que la plupart d’entre eux ne sont pas simplement mécontents de des services de la SBEE. Ils en sont très mécontents.</w:t>
      </w:r>
    </w:p>
    <w:p w:rsidR="0056000A" w:rsidRPr="0072397D" w:rsidRDefault="0056000A" w:rsidP="0056000A">
      <w:pPr>
        <w:tabs>
          <w:tab w:val="right" w:pos="9072"/>
        </w:tabs>
        <w:spacing w:after="0"/>
        <w:jc w:val="both"/>
        <w:rPr>
          <w:rFonts w:ascii="Trebuchet MS" w:hAnsi="Trebuchet MS"/>
          <w:sz w:val="24"/>
          <w:szCs w:val="24"/>
        </w:rPr>
      </w:pPr>
    </w:p>
    <w:p w:rsidR="0056000A" w:rsidRPr="00983887" w:rsidRDefault="00983887" w:rsidP="00306394">
      <w:pPr>
        <w:pStyle w:val="Lgende"/>
        <w:keepNext/>
        <w:spacing w:after="0"/>
        <w:jc w:val="both"/>
        <w:rPr>
          <w:rFonts w:ascii="Trebuchet MS" w:hAnsi="Trebuchet MS"/>
        </w:rPr>
      </w:pPr>
      <w:bookmarkStart w:id="216" w:name="_Toc426359362"/>
      <w:r w:rsidRPr="00983887">
        <w:rPr>
          <w:rFonts w:ascii="Trebuchet MS" w:hAnsi="Trebuchet MS"/>
        </w:rPr>
        <w:t xml:space="preserve">Tableau </w:t>
      </w:r>
      <w:r w:rsidR="00792500" w:rsidRPr="00983887">
        <w:rPr>
          <w:rFonts w:ascii="Trebuchet MS" w:hAnsi="Trebuchet MS"/>
        </w:rPr>
        <w:fldChar w:fldCharType="begin"/>
      </w:r>
      <w:r w:rsidRPr="00983887">
        <w:rPr>
          <w:rFonts w:ascii="Trebuchet MS" w:hAnsi="Trebuchet MS"/>
        </w:rPr>
        <w:instrText xml:space="preserve"> SEQ Tableau \* ARABIC </w:instrText>
      </w:r>
      <w:r w:rsidR="00792500" w:rsidRPr="00983887">
        <w:rPr>
          <w:rFonts w:ascii="Trebuchet MS" w:hAnsi="Trebuchet MS"/>
        </w:rPr>
        <w:fldChar w:fldCharType="separate"/>
      </w:r>
      <w:r w:rsidR="00556962">
        <w:rPr>
          <w:rFonts w:ascii="Trebuchet MS" w:hAnsi="Trebuchet MS"/>
          <w:noProof/>
        </w:rPr>
        <w:t>43</w:t>
      </w:r>
      <w:r w:rsidR="00792500"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Détails sur l’appréciation des ménages quant à la qualité des services de la SBEE</w:t>
      </w:r>
      <w:bookmarkEnd w:id="216"/>
    </w:p>
    <w:tbl>
      <w:tblPr>
        <w:tblStyle w:val="ENergiemnage"/>
        <w:tblW w:w="9524" w:type="dxa"/>
        <w:tblBorders>
          <w:top w:val="double" w:sz="4" w:space="0" w:color="auto"/>
          <w:bottom w:val="double" w:sz="4" w:space="0" w:color="auto"/>
        </w:tblBorders>
        <w:tblLayout w:type="fixed"/>
        <w:tblLook w:val="04A0" w:firstRow="1" w:lastRow="0" w:firstColumn="1" w:lastColumn="0" w:noHBand="0" w:noVBand="1"/>
      </w:tblPr>
      <w:tblGrid>
        <w:gridCol w:w="2196"/>
        <w:gridCol w:w="1282"/>
        <w:gridCol w:w="1211"/>
        <w:gridCol w:w="1157"/>
        <w:gridCol w:w="1420"/>
        <w:gridCol w:w="1016"/>
        <w:gridCol w:w="1242"/>
      </w:tblGrid>
      <w:tr w:rsidR="0056000A" w:rsidRPr="0079072B" w:rsidTr="00B12BA8">
        <w:trPr>
          <w:trHeight w:val="686"/>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 </w:t>
            </w:r>
          </w:p>
        </w:tc>
        <w:tc>
          <w:tcPr>
            <w:tcW w:w="1282"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Durée de disponibilité </w:t>
            </w:r>
          </w:p>
        </w:tc>
        <w:tc>
          <w:tcPr>
            <w:tcW w:w="1211"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Facturation </w:t>
            </w:r>
          </w:p>
        </w:tc>
        <w:tc>
          <w:tcPr>
            <w:tcW w:w="1157"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Réparation des pannes </w:t>
            </w:r>
          </w:p>
        </w:tc>
        <w:tc>
          <w:tcPr>
            <w:tcW w:w="1420"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Délai de raccordement </w:t>
            </w:r>
          </w:p>
        </w:tc>
        <w:tc>
          <w:tcPr>
            <w:tcW w:w="1016"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Prise en charge des plaintes </w:t>
            </w:r>
          </w:p>
        </w:tc>
        <w:tc>
          <w:tcPr>
            <w:tcW w:w="1242"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Appréciation globale des services de la SBEE</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Très mécontent</w:t>
            </w:r>
          </w:p>
        </w:tc>
        <w:tc>
          <w:tcPr>
            <w:tcW w:w="1282"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56,5</w:t>
            </w:r>
          </w:p>
        </w:tc>
        <w:tc>
          <w:tcPr>
            <w:tcW w:w="1211"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54,3</w:t>
            </w:r>
          </w:p>
        </w:tc>
        <w:tc>
          <w:tcPr>
            <w:tcW w:w="1157"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44,8</w:t>
            </w:r>
          </w:p>
        </w:tc>
        <w:tc>
          <w:tcPr>
            <w:tcW w:w="1420"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42,6</w:t>
            </w:r>
          </w:p>
        </w:tc>
        <w:tc>
          <w:tcPr>
            <w:tcW w:w="1016"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44,7</w:t>
            </w:r>
          </w:p>
        </w:tc>
        <w:tc>
          <w:tcPr>
            <w:tcW w:w="1242"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46,1</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Quelque peu mécontent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21,7</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18,5</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15,6</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14,1</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21,4</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Neutre</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7,5</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15,2</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27,9</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28,0</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28,8</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18,6</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Légèrement satisfait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10,5</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8,7</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7,0</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8,8</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6,6</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11,5</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Très satisfait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2,6</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1,2</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0,8</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Ne s'applique pas</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0,0</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0,2</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1,2</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0,0</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Non déclaré</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2,6</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r>
    </w:tbl>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r w:rsidRPr="0072397D">
        <w:rPr>
          <w:rFonts w:ascii="Trebuchet MS" w:hAnsi="Trebuchet MS"/>
          <w:sz w:val="24"/>
          <w:szCs w:val="24"/>
        </w:rPr>
        <w:br w:type="page"/>
      </w:r>
    </w:p>
    <w:p w:rsidR="0056000A" w:rsidRPr="0072397D" w:rsidRDefault="0056000A" w:rsidP="000F50F6">
      <w:pPr>
        <w:pStyle w:val="Titre2"/>
      </w:pPr>
      <w:bookmarkStart w:id="217" w:name="_Toc425961651"/>
      <w:bookmarkStart w:id="218" w:name="_Toc426359405"/>
      <w:bookmarkStart w:id="219" w:name="_Toc426359473"/>
      <w:r w:rsidRPr="0072397D">
        <w:t xml:space="preserve">CHAPITRE </w:t>
      </w:r>
      <w:r>
        <w:t>4</w:t>
      </w:r>
      <w:r w:rsidRPr="0072397D">
        <w:t> : VOLONTE ET CAPACITE DES MENAGES A PAYER POUR UNE ENERGIE ELECTRIQUE DE QUALITE</w:t>
      </w:r>
      <w:bookmarkEnd w:id="217"/>
      <w:bookmarkEnd w:id="218"/>
      <w:bookmarkEnd w:id="219"/>
    </w:p>
    <w:bookmarkEnd w:id="202"/>
    <w:bookmarkEnd w:id="203"/>
    <w:p w:rsidR="0056000A" w:rsidRPr="006E27DF" w:rsidRDefault="0056000A" w:rsidP="0056000A">
      <w:pPr>
        <w:rPr>
          <w:rFonts w:ascii="Trebuchet MS" w:hAnsi="Trebuchet MS"/>
        </w:rPr>
      </w:pPr>
    </w:p>
    <w:p w:rsidR="00000D52" w:rsidRPr="00000D52" w:rsidRDefault="00000D52" w:rsidP="00000D52">
      <w:pPr>
        <w:keepNext/>
        <w:framePr w:dropCap="drop" w:lines="3" w:wrap="around" w:vAnchor="text" w:hAnchor="text"/>
        <w:tabs>
          <w:tab w:val="right" w:pos="9072"/>
        </w:tabs>
        <w:spacing w:before="40" w:after="0" w:line="881" w:lineRule="exact"/>
        <w:jc w:val="both"/>
        <w:textAlignment w:val="baseline"/>
        <w:rPr>
          <w:rFonts w:ascii="Trebuchet MS" w:hAnsi="Trebuchet MS"/>
          <w:position w:val="-8"/>
          <w:sz w:val="103"/>
        </w:rPr>
      </w:pPr>
      <w:r w:rsidRPr="00000D52">
        <w:rPr>
          <w:rFonts w:ascii="Trebuchet MS" w:hAnsi="Trebuchet MS"/>
          <w:position w:val="-8"/>
          <w:sz w:val="103"/>
        </w:rPr>
        <w:t>C</w:t>
      </w:r>
    </w:p>
    <w:p w:rsidR="0056000A" w:rsidRDefault="0056000A" w:rsidP="0056000A">
      <w:pPr>
        <w:tabs>
          <w:tab w:val="right" w:pos="9072"/>
        </w:tabs>
        <w:spacing w:before="240"/>
        <w:jc w:val="both"/>
        <w:rPr>
          <w:rFonts w:ascii="Trebuchet MS" w:hAnsi="Trebuchet MS"/>
        </w:rPr>
      </w:pPr>
      <w:r>
        <w:rPr>
          <w:rFonts w:ascii="Trebuchet MS" w:hAnsi="Trebuchet MS"/>
        </w:rPr>
        <w:t xml:space="preserve">e chapitre présente les conditions dans lesquelles les ménages non connectés sont disposés à se raccorder au réseau électrique de la SBEE. On y distingue le cas des ménages installés dans des zones où il y a l’électricité de celui des ménages situés dans des zones où le réseau ne s’est pas encore étendu. </w:t>
      </w:r>
    </w:p>
    <w:p w:rsidR="0056000A" w:rsidRDefault="0056000A" w:rsidP="0056000A">
      <w:pPr>
        <w:tabs>
          <w:tab w:val="right" w:pos="9072"/>
        </w:tabs>
        <w:spacing w:before="240"/>
        <w:jc w:val="both"/>
        <w:rPr>
          <w:rFonts w:ascii="Trebuchet MS" w:hAnsi="Trebuchet MS"/>
        </w:rPr>
      </w:pPr>
      <w:r>
        <w:rPr>
          <w:rFonts w:ascii="Trebuchet MS" w:hAnsi="Trebuchet MS"/>
        </w:rPr>
        <w:t xml:space="preserve">Au-delà de la volonté des ménages à se raccorder à l’énergie électrique, le chapitre traite de leur capacité à payer pour en disposer. Il permet de se faire une idée de l’importance que les ménages accordent à l’électricité, d’évaluer leur sensibilité aux coupures d’électricité et aux baisses de tension et leur propension à aller vers l’énergie solaire. </w:t>
      </w:r>
    </w:p>
    <w:p w:rsidR="0056000A" w:rsidRPr="0072397D" w:rsidRDefault="00000D52" w:rsidP="00000D52">
      <w:pPr>
        <w:pStyle w:val="Titre3"/>
        <w:numPr>
          <w:ilvl w:val="0"/>
          <w:numId w:val="0"/>
        </w:numPr>
        <w:ind w:left="720" w:hanging="720"/>
      </w:pPr>
      <w:bookmarkStart w:id="220" w:name="_Toc426359406"/>
      <w:bookmarkStart w:id="221" w:name="_Toc426359474"/>
      <w:r>
        <w:t>4</w:t>
      </w:r>
      <w:r w:rsidR="0056000A" w:rsidRPr="0072397D">
        <w:t>.1. Disposition des ménages non connectés à se raccorder au réseau de la SBEE</w:t>
      </w:r>
      <w:bookmarkEnd w:id="220"/>
      <w:bookmarkEnd w:id="221"/>
    </w:p>
    <w:p w:rsidR="0056000A" w:rsidRPr="0072397D" w:rsidRDefault="00000D52" w:rsidP="00F03E08">
      <w:pPr>
        <w:pStyle w:val="Titre4"/>
      </w:pPr>
      <w:bookmarkStart w:id="222" w:name="_Toc426359475"/>
      <w:r>
        <w:t>4</w:t>
      </w:r>
      <w:r w:rsidR="0056000A" w:rsidRPr="0072397D">
        <w:t>.1.1 Cas des ménages situés dans des zones où il y a l’électricité</w:t>
      </w:r>
      <w:bookmarkEnd w:id="222"/>
    </w:p>
    <w:p w:rsidR="0056000A" w:rsidRPr="006E27DF" w:rsidRDefault="0056000A" w:rsidP="00D50DEA">
      <w:pPr>
        <w:spacing w:before="240"/>
        <w:jc w:val="both"/>
        <w:rPr>
          <w:rFonts w:ascii="Trebuchet MS" w:hAnsi="Trebuchet MS"/>
        </w:rPr>
      </w:pPr>
      <w:r>
        <w:rPr>
          <w:rFonts w:ascii="Trebuchet MS" w:hAnsi="Trebuchet MS"/>
        </w:rPr>
        <w:t xml:space="preserve">Comme le montre le chapitre 2, seuls 34,7% des ménages ont accès à l’électricité de la SBEEau niveau national. En d’autres termes, 2 ménages sur 3 n’ont pas l’énergie électrique dans leurs ménages. Parmi eux, 37,1% sont dans des zones où il n’y a pas l’électricité. La notion de « zone » utilisée ici ne fait pas référence à une définition particulière liée par exemple à un quelconque découpage administratif. On pourrait toutefois s’accorder sur le fait que la notion de « zone » traduit une idée de proximité même si cette dernière reste toujours liée à l’appréciation du répondant. </w:t>
      </w:r>
    </w:p>
    <w:p w:rsidR="0056000A" w:rsidRPr="00D50DEA" w:rsidRDefault="00D50DEA" w:rsidP="00306394">
      <w:pPr>
        <w:pStyle w:val="Lgende"/>
        <w:keepNext/>
        <w:spacing w:after="0"/>
        <w:jc w:val="both"/>
        <w:rPr>
          <w:rFonts w:ascii="Trebuchet MS" w:hAnsi="Trebuchet MS"/>
        </w:rPr>
      </w:pPr>
      <w:bookmarkStart w:id="223" w:name="_Toc426359363"/>
      <w:r w:rsidRPr="00D50DEA">
        <w:rPr>
          <w:rFonts w:ascii="Trebuchet MS" w:hAnsi="Trebuchet MS"/>
        </w:rPr>
        <w:t xml:space="preserve">Tableau </w:t>
      </w:r>
      <w:r w:rsidR="00792500" w:rsidRPr="00D50DEA">
        <w:rPr>
          <w:rFonts w:ascii="Trebuchet MS" w:hAnsi="Trebuchet MS"/>
        </w:rPr>
        <w:fldChar w:fldCharType="begin"/>
      </w:r>
      <w:r w:rsidRPr="00D50DEA">
        <w:rPr>
          <w:rFonts w:ascii="Trebuchet MS" w:hAnsi="Trebuchet MS"/>
        </w:rPr>
        <w:instrText xml:space="preserve"> SEQ Tableau \* ARABIC </w:instrText>
      </w:r>
      <w:r w:rsidR="00792500" w:rsidRPr="00D50DEA">
        <w:rPr>
          <w:rFonts w:ascii="Trebuchet MS" w:hAnsi="Trebuchet MS"/>
        </w:rPr>
        <w:fldChar w:fldCharType="separate"/>
      </w:r>
      <w:r w:rsidR="00556962">
        <w:rPr>
          <w:rFonts w:ascii="Trebuchet MS" w:hAnsi="Trebuchet MS"/>
          <w:noProof/>
        </w:rPr>
        <w:t>44</w:t>
      </w:r>
      <w:r w:rsidR="00792500" w:rsidRPr="00D50DEA">
        <w:rPr>
          <w:rFonts w:ascii="Trebuchet MS" w:hAnsi="Trebuchet MS"/>
        </w:rPr>
        <w:fldChar w:fldCharType="end"/>
      </w:r>
      <w:r w:rsidRPr="00D50DEA">
        <w:rPr>
          <w:rFonts w:ascii="Trebuchet MS" w:hAnsi="Trebuchet MS"/>
        </w:rPr>
        <w:t xml:space="preserve"> : </w:t>
      </w:r>
      <w:r w:rsidR="0056000A" w:rsidRPr="00D50DEA">
        <w:rPr>
          <w:rFonts w:ascii="Trebuchet MS" w:hAnsi="Trebuchet MS"/>
        </w:rPr>
        <w:t>Répartition des ménages selon qu’il y ait l’électricité dans leur zone ou pas</w:t>
      </w:r>
      <w:bookmarkEnd w:id="223"/>
    </w:p>
    <w:tbl>
      <w:tblPr>
        <w:tblStyle w:val="ENergiemnage"/>
        <w:tblW w:w="6105" w:type="dxa"/>
        <w:tblBorders>
          <w:top w:val="double" w:sz="4" w:space="0" w:color="auto"/>
          <w:bottom w:val="double" w:sz="4" w:space="0" w:color="auto"/>
        </w:tblBorders>
        <w:tblLook w:val="04A0" w:firstRow="1" w:lastRow="0" w:firstColumn="1" w:lastColumn="0" w:noHBand="0" w:noVBand="1"/>
      </w:tblPr>
      <w:tblGrid>
        <w:gridCol w:w="4045"/>
        <w:gridCol w:w="957"/>
        <w:gridCol w:w="1103"/>
      </w:tblGrid>
      <w:tr w:rsidR="0056000A" w:rsidRPr="0079072B" w:rsidTr="00B12BA8">
        <w:trPr>
          <w:trHeight w:val="243"/>
        </w:trPr>
        <w:tc>
          <w:tcPr>
            <w:tcW w:w="4045" w:type="dxa"/>
            <w:tcBorders>
              <w:top w:val="double" w:sz="4" w:space="0" w:color="auto"/>
              <w:bottom w:val="nil"/>
            </w:tcBorders>
            <w:noWrap/>
            <w:hideMark/>
          </w:tcPr>
          <w:p w:rsidR="0056000A" w:rsidRPr="0079072B" w:rsidRDefault="0056000A" w:rsidP="00D50DEA">
            <w:pPr>
              <w:keepNext/>
              <w:spacing w:after="0" w:line="240" w:lineRule="auto"/>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 </w:t>
            </w:r>
          </w:p>
        </w:tc>
        <w:tc>
          <w:tcPr>
            <w:tcW w:w="957" w:type="dxa"/>
            <w:tcBorders>
              <w:top w:val="double" w:sz="4" w:space="0" w:color="auto"/>
              <w:bottom w:val="nil"/>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Effectif</w:t>
            </w:r>
          </w:p>
        </w:tc>
        <w:tc>
          <w:tcPr>
            <w:tcW w:w="1103" w:type="dxa"/>
            <w:tcBorders>
              <w:top w:val="double" w:sz="4" w:space="0" w:color="auto"/>
              <w:bottom w:val="nil"/>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Part (%)</w:t>
            </w:r>
          </w:p>
        </w:tc>
      </w:tr>
      <w:tr w:rsidR="0056000A" w:rsidRPr="0079072B" w:rsidTr="00B12BA8">
        <w:trPr>
          <w:trHeight w:val="243"/>
        </w:trPr>
        <w:tc>
          <w:tcPr>
            <w:tcW w:w="4045" w:type="dxa"/>
            <w:tcBorders>
              <w:top w:val="nil"/>
              <w:bottom w:val="single" w:sz="4" w:space="0" w:color="auto"/>
            </w:tcBorders>
            <w:noWrap/>
            <w:hideMark/>
          </w:tcPr>
          <w:p w:rsidR="0056000A" w:rsidRPr="0079072B" w:rsidRDefault="0056000A" w:rsidP="00D50DEA">
            <w:pPr>
              <w:keepNext/>
              <w:spacing w:after="0" w:line="240" w:lineRule="auto"/>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Y-a-t-il l’électricité dans votre zone ?</w:t>
            </w:r>
          </w:p>
        </w:tc>
        <w:tc>
          <w:tcPr>
            <w:tcW w:w="957" w:type="dxa"/>
            <w:tcBorders>
              <w:top w:val="nil"/>
              <w:bottom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p>
        </w:tc>
        <w:tc>
          <w:tcPr>
            <w:tcW w:w="1103" w:type="dxa"/>
            <w:tcBorders>
              <w:top w:val="nil"/>
              <w:bottom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p>
        </w:tc>
      </w:tr>
      <w:tr w:rsidR="0056000A" w:rsidRPr="0079072B" w:rsidTr="00B12BA8">
        <w:trPr>
          <w:trHeight w:val="243"/>
        </w:trPr>
        <w:tc>
          <w:tcPr>
            <w:tcW w:w="4045" w:type="dxa"/>
            <w:tcBorders>
              <w:top w:val="single" w:sz="4" w:space="0" w:color="auto"/>
            </w:tcBorders>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Oui</w:t>
            </w:r>
          </w:p>
        </w:tc>
        <w:tc>
          <w:tcPr>
            <w:tcW w:w="957" w:type="dxa"/>
            <w:tcBorders>
              <w:top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925</w:t>
            </w:r>
          </w:p>
        </w:tc>
        <w:tc>
          <w:tcPr>
            <w:tcW w:w="1103" w:type="dxa"/>
            <w:tcBorders>
              <w:top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37,1</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Non</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1515</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60,8</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Non déclaré</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51</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2,1</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Total</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2491</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100,0</w:t>
            </w:r>
          </w:p>
        </w:tc>
      </w:tr>
    </w:tbl>
    <w:p w:rsidR="0056000A" w:rsidRPr="006E27DF" w:rsidRDefault="0056000A" w:rsidP="00D50DEA">
      <w:pPr>
        <w:keepNext/>
        <w:tabs>
          <w:tab w:val="right" w:pos="9072"/>
        </w:tabs>
        <w:jc w:val="both"/>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tabs>
          <w:tab w:val="right" w:pos="9072"/>
        </w:tabs>
        <w:spacing w:before="240"/>
        <w:jc w:val="both"/>
        <w:rPr>
          <w:rFonts w:ascii="Trebuchet MS" w:hAnsi="Trebuchet MS"/>
        </w:rPr>
      </w:pPr>
      <w:r>
        <w:rPr>
          <w:rFonts w:ascii="Trebuchet MS" w:hAnsi="Trebuchet MS"/>
        </w:rPr>
        <w:t xml:space="preserve">Les ménages non connectés qui sont installés dans des zones où il y a déjà l’électricité sont dans leur écrasante majorité (87%) disposer à se raccorder au réseau électrique de la SBEE. Toutefois, on note quelques disparités selon le département de résidence et le sexe du chef de ménage. En effet, les ménages ayant à leur tête des hommes sont plus disposés (90% contre 78%) à se raccorder au réseau électrique que les ménages dirigés par des femmes. </w:t>
      </w:r>
    </w:p>
    <w:p w:rsidR="0056000A" w:rsidRDefault="0056000A" w:rsidP="0056000A">
      <w:pPr>
        <w:tabs>
          <w:tab w:val="right" w:pos="9072"/>
        </w:tabs>
        <w:spacing w:before="240"/>
        <w:jc w:val="both"/>
        <w:rPr>
          <w:rFonts w:ascii="Trebuchet MS" w:hAnsi="Trebuchet MS"/>
        </w:rPr>
      </w:pPr>
      <w:r>
        <w:rPr>
          <w:rFonts w:ascii="Trebuchet MS" w:hAnsi="Trebuchet MS"/>
        </w:rPr>
        <w:t xml:space="preserve">En analysant par rapport au département de résidence, on note que l’Alibori (64%) et le Littoral (71%) sont les départements qui affichent les plus faibles proportions de ménages désirant se raccorder au réseau de la SBEE, contrairement aux départements du Borgou (98%), de la Donga (94%) et de l’Atlantique (93%). La plupart des ménages du département de l’Alibori ont justifié leur choix par l’insuffisance de moyen financiers. Quant aux ménages du département du Littoral, principal pôle d’activité économique où l’on devrait s’attendre à une proportion très élevée, les raisons avancées ont trait par exemple à leur statut de propriété. Les ménages non propriétaires de la parcelle sur laquelle ils sont installés n’ont pas manifesté la volonté de se raccorder au réseau. Lorsque l’on s’intéresse au milieu de résidence, il n’y a pas de différence significative entre les proportions de ménages qui souhaiteraient se raccorder au réseau. </w:t>
      </w:r>
    </w:p>
    <w:p w:rsidR="0056000A" w:rsidRPr="00306394" w:rsidRDefault="00306394" w:rsidP="000F4A11">
      <w:pPr>
        <w:pStyle w:val="Lgende"/>
        <w:keepNext/>
        <w:spacing w:after="0" w:line="240" w:lineRule="auto"/>
        <w:rPr>
          <w:rFonts w:ascii="Trebuchet MS" w:hAnsi="Trebuchet MS"/>
        </w:rPr>
      </w:pPr>
      <w:bookmarkStart w:id="224" w:name="_Toc426359269"/>
      <w:r w:rsidRPr="00306394">
        <w:rPr>
          <w:rFonts w:ascii="Trebuchet MS" w:hAnsi="Trebuchet MS"/>
        </w:rPr>
        <w:t xml:space="preserve">Graphique </w:t>
      </w:r>
      <w:r w:rsidR="00792500" w:rsidRPr="00306394">
        <w:rPr>
          <w:rFonts w:ascii="Trebuchet MS" w:hAnsi="Trebuchet MS"/>
        </w:rPr>
        <w:fldChar w:fldCharType="begin"/>
      </w:r>
      <w:r w:rsidRPr="00306394">
        <w:rPr>
          <w:rFonts w:ascii="Trebuchet MS" w:hAnsi="Trebuchet MS"/>
        </w:rPr>
        <w:instrText xml:space="preserve"> SEQ Graphique \* ARABIC </w:instrText>
      </w:r>
      <w:r w:rsidR="00792500" w:rsidRPr="00306394">
        <w:rPr>
          <w:rFonts w:ascii="Trebuchet MS" w:hAnsi="Trebuchet MS"/>
        </w:rPr>
        <w:fldChar w:fldCharType="separate"/>
      </w:r>
      <w:r w:rsidR="00605DE4">
        <w:rPr>
          <w:rFonts w:ascii="Trebuchet MS" w:hAnsi="Trebuchet MS"/>
          <w:noProof/>
        </w:rPr>
        <w:t>15</w:t>
      </w:r>
      <w:r w:rsidR="00792500" w:rsidRPr="00306394">
        <w:rPr>
          <w:rFonts w:ascii="Trebuchet MS" w:hAnsi="Trebuchet MS"/>
        </w:rPr>
        <w:fldChar w:fldCharType="end"/>
      </w:r>
      <w:r w:rsidRPr="00306394">
        <w:rPr>
          <w:rFonts w:ascii="Trebuchet MS" w:hAnsi="Trebuchet MS"/>
        </w:rPr>
        <w:t xml:space="preserve"> : </w:t>
      </w:r>
      <w:r w:rsidR="0056000A" w:rsidRPr="00306394">
        <w:rPr>
          <w:rFonts w:ascii="Trebuchet MS" w:hAnsi="Trebuchet MS"/>
        </w:rPr>
        <w:t>Disposition des ménages à se connecter au réseau électrique selon le sexe, le milieu de résidence et le département</w:t>
      </w:r>
      <w:bookmarkEnd w:id="224"/>
    </w:p>
    <w:p w:rsidR="0056000A" w:rsidRPr="0072397D" w:rsidRDefault="0056000A" w:rsidP="000F4A11">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486275" cy="2676525"/>
            <wp:effectExtent l="0" t="0" r="9525" b="9525"/>
            <wp:docPr id="22" name="Graphique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6000A" w:rsidRPr="0072397D" w:rsidRDefault="0056000A" w:rsidP="000F4A11">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tabs>
          <w:tab w:val="right" w:pos="9072"/>
        </w:tabs>
        <w:spacing w:before="240"/>
        <w:jc w:val="both"/>
        <w:rPr>
          <w:rFonts w:ascii="Trebuchet MS" w:hAnsi="Trebuchet MS"/>
        </w:rPr>
      </w:pPr>
      <w:r w:rsidRPr="0011206A">
        <w:rPr>
          <w:rFonts w:ascii="Trebuchet MS" w:hAnsi="Trebuchet MS"/>
        </w:rPr>
        <w:t xml:space="preserve">La décision de raccordement d’un ménage situé dans une zone où il y a l’électricité semble être liée à l’âge du chef de ménage. Comme le montre le graphique ci-dessous, on note une tendance à la hausse, des intentions de raccordement des ménages avec l’augmentation de l’âge du chef de ménage. Toutefois, cette tendance se retourne à la baisse à partir de 60 ans. Ceci traduit le peu d’intérêt qu’ont les chefs de ménages âgés à se connecter au réseau de la SBEE. </w:t>
      </w:r>
    </w:p>
    <w:p w:rsidR="0056000A" w:rsidRPr="000F4A11" w:rsidRDefault="000F4A11" w:rsidP="000F4A11">
      <w:pPr>
        <w:pStyle w:val="Lgende"/>
        <w:keepNext/>
        <w:spacing w:after="0" w:line="240" w:lineRule="auto"/>
        <w:rPr>
          <w:rFonts w:ascii="Trebuchet MS" w:hAnsi="Trebuchet MS"/>
          <w:szCs w:val="24"/>
        </w:rPr>
      </w:pPr>
      <w:bookmarkStart w:id="225" w:name="_Toc426359270"/>
      <w:r w:rsidRPr="000F4A11">
        <w:rPr>
          <w:rFonts w:ascii="Trebuchet MS" w:hAnsi="Trebuchet MS"/>
          <w:szCs w:val="24"/>
        </w:rPr>
        <w:t xml:space="preserve">Graphique </w:t>
      </w:r>
      <w:r w:rsidR="00792500" w:rsidRPr="000F4A11">
        <w:rPr>
          <w:rFonts w:ascii="Trebuchet MS" w:hAnsi="Trebuchet MS"/>
          <w:szCs w:val="24"/>
        </w:rPr>
        <w:fldChar w:fldCharType="begin"/>
      </w:r>
      <w:r w:rsidRPr="000F4A11">
        <w:rPr>
          <w:rFonts w:ascii="Trebuchet MS" w:hAnsi="Trebuchet MS"/>
          <w:szCs w:val="24"/>
        </w:rPr>
        <w:instrText xml:space="preserve"> SEQ Graphique \* ARABIC </w:instrText>
      </w:r>
      <w:r w:rsidR="00792500" w:rsidRPr="000F4A11">
        <w:rPr>
          <w:rFonts w:ascii="Trebuchet MS" w:hAnsi="Trebuchet MS"/>
          <w:szCs w:val="24"/>
        </w:rPr>
        <w:fldChar w:fldCharType="separate"/>
      </w:r>
      <w:r w:rsidR="00605DE4">
        <w:rPr>
          <w:rFonts w:ascii="Trebuchet MS" w:hAnsi="Trebuchet MS"/>
          <w:noProof/>
          <w:szCs w:val="24"/>
        </w:rPr>
        <w:t>16</w:t>
      </w:r>
      <w:r w:rsidR="00792500" w:rsidRPr="000F4A11">
        <w:rPr>
          <w:rFonts w:ascii="Trebuchet MS" w:hAnsi="Trebuchet MS"/>
          <w:szCs w:val="24"/>
        </w:rPr>
        <w:fldChar w:fldCharType="end"/>
      </w:r>
      <w:r w:rsidRPr="000F4A11">
        <w:rPr>
          <w:rFonts w:ascii="Trebuchet MS" w:hAnsi="Trebuchet MS"/>
          <w:szCs w:val="24"/>
        </w:rPr>
        <w:t xml:space="preserve"> : </w:t>
      </w:r>
      <w:r w:rsidR="0056000A" w:rsidRPr="000F4A11">
        <w:rPr>
          <w:rFonts w:ascii="Trebuchet MS" w:hAnsi="Trebuchet MS"/>
          <w:szCs w:val="24"/>
        </w:rPr>
        <w:t>Disposition des ménages non connectés, situés dans des zones où il y a l’électricité, à se raccorder</w:t>
      </w:r>
      <w:bookmarkEnd w:id="225"/>
    </w:p>
    <w:p w:rsidR="0056000A" w:rsidRDefault="0056000A" w:rsidP="000F4A11">
      <w:pPr>
        <w:keepNext/>
        <w:tabs>
          <w:tab w:val="right" w:pos="9072"/>
        </w:tabs>
        <w:spacing w:after="0"/>
        <w:jc w:val="both"/>
        <w:rPr>
          <w:rFonts w:ascii="Trebuchet MS" w:hAnsi="Trebuchet MS"/>
          <w:sz w:val="24"/>
          <w:szCs w:val="24"/>
        </w:rPr>
      </w:pPr>
      <w:r>
        <w:rPr>
          <w:noProof/>
          <w:lang w:eastAsia="fr-FR"/>
        </w:rPr>
        <w:drawing>
          <wp:inline distT="0" distB="0" distL="0" distR="0">
            <wp:extent cx="4486275" cy="2657475"/>
            <wp:effectExtent l="0" t="0" r="9525" b="9525"/>
            <wp:docPr id="28" name="Graphique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6000A" w:rsidRPr="0072397D" w:rsidRDefault="0056000A" w:rsidP="000F4A11">
      <w:pPr>
        <w:keepNext/>
        <w:tabs>
          <w:tab w:val="right" w:pos="9072"/>
        </w:tabs>
        <w:spacing w:after="0" w:line="240" w:lineRule="auto"/>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tabs>
          <w:tab w:val="right" w:pos="9072"/>
        </w:tabs>
        <w:spacing w:before="240"/>
        <w:jc w:val="both"/>
        <w:rPr>
          <w:rFonts w:ascii="Trebuchet MS" w:hAnsi="Trebuchet MS"/>
        </w:rPr>
      </w:pPr>
      <w:r w:rsidRPr="0011206A">
        <w:rPr>
          <w:rFonts w:ascii="Trebuchet MS" w:hAnsi="Trebuchet MS"/>
        </w:rPr>
        <w:t>La principale raison qui explique le refus de certains ménages de se connecter à la ligne de la SBEE, est celui du coût de raccordement. Ces derniers estiment dans 72,0% des cas que ce coût est trop cher. D’autres ménages (40,2%) pensent qu’ils n’ont tout simplement pas besoin de se raccorder et certains parmi eux l’explique par la « vieillesse du chef de ménage ». Une autre raison évoquée par les ménages pour justifier leur choix est qu’ils « ne font pas confiance à la SBEE ».</w:t>
      </w:r>
    </w:p>
    <w:p w:rsidR="0056000A" w:rsidRPr="000F4A11" w:rsidRDefault="000F4A11" w:rsidP="000F4A11">
      <w:pPr>
        <w:pStyle w:val="Lgende"/>
        <w:keepNext/>
        <w:spacing w:after="0" w:line="240" w:lineRule="auto"/>
        <w:jc w:val="both"/>
        <w:rPr>
          <w:rFonts w:ascii="Trebuchet MS" w:hAnsi="Trebuchet MS"/>
          <w:szCs w:val="24"/>
        </w:rPr>
      </w:pPr>
      <w:bookmarkStart w:id="226" w:name="_Toc426359271"/>
      <w:r w:rsidRPr="000F4A11">
        <w:rPr>
          <w:rFonts w:ascii="Trebuchet MS" w:hAnsi="Trebuchet MS"/>
          <w:szCs w:val="24"/>
        </w:rPr>
        <w:t xml:space="preserve">Graphique </w:t>
      </w:r>
      <w:r w:rsidR="00792500" w:rsidRPr="000F4A11">
        <w:rPr>
          <w:rFonts w:ascii="Trebuchet MS" w:hAnsi="Trebuchet MS"/>
          <w:szCs w:val="24"/>
        </w:rPr>
        <w:fldChar w:fldCharType="begin"/>
      </w:r>
      <w:r w:rsidRPr="000F4A11">
        <w:rPr>
          <w:rFonts w:ascii="Trebuchet MS" w:hAnsi="Trebuchet MS"/>
          <w:szCs w:val="24"/>
        </w:rPr>
        <w:instrText xml:space="preserve"> SEQ Graphique \* ARABIC </w:instrText>
      </w:r>
      <w:r w:rsidR="00792500" w:rsidRPr="000F4A11">
        <w:rPr>
          <w:rFonts w:ascii="Trebuchet MS" w:hAnsi="Trebuchet MS"/>
          <w:szCs w:val="24"/>
        </w:rPr>
        <w:fldChar w:fldCharType="separate"/>
      </w:r>
      <w:r w:rsidR="00605DE4">
        <w:rPr>
          <w:rFonts w:ascii="Trebuchet MS" w:hAnsi="Trebuchet MS"/>
          <w:noProof/>
          <w:szCs w:val="24"/>
        </w:rPr>
        <w:t>17</w:t>
      </w:r>
      <w:r w:rsidR="00792500" w:rsidRPr="000F4A11">
        <w:rPr>
          <w:rFonts w:ascii="Trebuchet MS" w:hAnsi="Trebuchet MS"/>
          <w:szCs w:val="24"/>
        </w:rPr>
        <w:fldChar w:fldCharType="end"/>
      </w:r>
      <w:r w:rsidRPr="000F4A11">
        <w:rPr>
          <w:rFonts w:ascii="Trebuchet MS" w:hAnsi="Trebuchet MS"/>
          <w:szCs w:val="24"/>
        </w:rPr>
        <w:t xml:space="preserve"> : </w:t>
      </w:r>
      <w:r w:rsidR="0056000A" w:rsidRPr="000F4A11">
        <w:rPr>
          <w:rFonts w:ascii="Trebuchet MS" w:hAnsi="Trebuchet MS"/>
          <w:szCs w:val="24"/>
        </w:rPr>
        <w:t>Raisons justifiant le refus des ménages situés dans des zones où il y a l’électricité de se raccorder</w:t>
      </w:r>
      <w:bookmarkEnd w:id="226"/>
    </w:p>
    <w:p w:rsidR="0056000A" w:rsidRPr="0072397D" w:rsidRDefault="0056000A" w:rsidP="000F4A11">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6000A" w:rsidRPr="0072397D" w:rsidRDefault="0056000A" w:rsidP="000F4A11">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spacing w:before="240" w:after="0"/>
        <w:jc w:val="both"/>
        <w:rPr>
          <w:rFonts w:ascii="Trebuchet MS" w:hAnsi="Trebuchet MS"/>
        </w:rPr>
      </w:pPr>
      <w:r w:rsidRPr="0011206A">
        <w:rPr>
          <w:rFonts w:ascii="Trebuchet MS" w:hAnsi="Trebuchet MS"/>
        </w:rPr>
        <w:t xml:space="preserve">Il existe de multiples autres facteurs qui empêchent les ménages de se connecter au réseau électrique de la SBEE. On peut noter parmi ces facteurs, le statut d’occupation du chef de ménage qui ne lui permet pas d’envisager un éventuel raccordement au réseau. Les chefs de ménages en quête qu’un « emploi rassurant » ou encore les élèves ou étudiants occupant des maisons non connectés à l’électricité, ont exprimé leur refus de se connecter. Ceci renvoie non seulement à la question du statut de propriété du ménage mais aussi au problème de disponibilité de ressources financières. </w:t>
      </w:r>
    </w:p>
    <w:p w:rsidR="0056000A" w:rsidRPr="0011206A" w:rsidRDefault="0056000A" w:rsidP="0056000A">
      <w:pPr>
        <w:spacing w:before="240" w:after="0"/>
        <w:jc w:val="both"/>
        <w:rPr>
          <w:rFonts w:ascii="Trebuchet MS" w:hAnsi="Trebuchet MS"/>
        </w:rPr>
      </w:pPr>
      <w:r w:rsidRPr="0011206A">
        <w:rPr>
          <w:rFonts w:ascii="Trebuchet MS" w:hAnsi="Trebuchet MS"/>
        </w:rPr>
        <w:t xml:space="preserve">Si certains ménages ont évoqué leur « instabilité » dans le ménage comme raison de refus de raccordement, d’autres ont tout simplement dénoncé le fait que « la SBEE ne réponde pas aux populations ». </w:t>
      </w:r>
    </w:p>
    <w:p w:rsidR="0056000A" w:rsidRPr="0011206A" w:rsidRDefault="0056000A" w:rsidP="0056000A">
      <w:pPr>
        <w:spacing w:before="240"/>
        <w:jc w:val="both"/>
        <w:rPr>
          <w:rFonts w:ascii="Trebuchet MS" w:hAnsi="Trebuchet MS"/>
        </w:rPr>
      </w:pPr>
      <w:r>
        <w:rPr>
          <w:rFonts w:ascii="Trebuchet MS" w:hAnsi="Trebuchet MS"/>
        </w:rPr>
        <w:t xml:space="preserve">Des facteurs socio-culturels peuvent également expliquer la décision d’un ménage de ne pas se raccorder au réseau électrique de la SBEE. Ces facteurs pourraient ne pas avoir de lien avec le revenu du ménage, l’âge ou le sexe du chef de ménage ou encore avec le département de résidence. En effet, certaines pratiques religieuses se font à l’abri de la lumière ; ce qui oblige les ménages adeptes de ces religions à ne pas se raccorder au réseau électrique. </w:t>
      </w:r>
    </w:p>
    <w:p w:rsidR="0056000A" w:rsidRPr="000F4A11" w:rsidRDefault="000F4A11" w:rsidP="00EA04DD">
      <w:pPr>
        <w:pStyle w:val="Lgende"/>
        <w:keepNext/>
        <w:spacing w:after="0"/>
        <w:rPr>
          <w:rFonts w:ascii="Trebuchet MS" w:eastAsia="Times New Roman" w:hAnsi="Trebuchet MS" w:cs="Calibri"/>
          <w:bCs w:val="0"/>
          <w:color w:val="000000"/>
          <w:lang w:eastAsia="fr-FR"/>
        </w:rPr>
      </w:pPr>
      <w:bookmarkStart w:id="227" w:name="_Toc426359364"/>
      <w:r w:rsidRPr="000F4A11">
        <w:rPr>
          <w:rFonts w:ascii="Trebuchet MS" w:eastAsia="Times New Roman" w:hAnsi="Trebuchet MS" w:cs="Calibri"/>
          <w:bCs w:val="0"/>
          <w:color w:val="000000"/>
          <w:lang w:eastAsia="fr-FR"/>
        </w:rPr>
        <w:t xml:space="preserve">Tableau </w:t>
      </w:r>
      <w:r w:rsidR="00792500" w:rsidRPr="000F4A11">
        <w:rPr>
          <w:rFonts w:ascii="Trebuchet MS" w:eastAsia="Times New Roman" w:hAnsi="Trebuchet MS" w:cs="Calibri"/>
          <w:bCs w:val="0"/>
          <w:color w:val="000000"/>
          <w:lang w:eastAsia="fr-FR"/>
        </w:rPr>
        <w:fldChar w:fldCharType="begin"/>
      </w:r>
      <w:r w:rsidRPr="000F4A11">
        <w:rPr>
          <w:rFonts w:ascii="Trebuchet MS" w:eastAsia="Times New Roman" w:hAnsi="Trebuchet MS" w:cs="Calibri"/>
          <w:bCs w:val="0"/>
          <w:color w:val="000000"/>
          <w:lang w:eastAsia="fr-FR"/>
        </w:rPr>
        <w:instrText xml:space="preserve"> SEQ Tableau \* ARABIC </w:instrText>
      </w:r>
      <w:r w:rsidR="00792500" w:rsidRPr="000F4A11">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45</w:t>
      </w:r>
      <w:r w:rsidR="00792500" w:rsidRPr="000F4A11">
        <w:rPr>
          <w:rFonts w:ascii="Trebuchet MS" w:eastAsia="Times New Roman" w:hAnsi="Trebuchet MS" w:cs="Calibri"/>
          <w:bCs w:val="0"/>
          <w:color w:val="000000"/>
          <w:lang w:eastAsia="fr-FR"/>
        </w:rPr>
        <w:fldChar w:fldCharType="end"/>
      </w:r>
      <w:r w:rsidRPr="000F4A11">
        <w:rPr>
          <w:rFonts w:ascii="Trebuchet MS" w:eastAsia="Times New Roman" w:hAnsi="Trebuchet MS" w:cs="Calibri"/>
          <w:bCs w:val="0"/>
          <w:color w:val="000000"/>
          <w:lang w:eastAsia="fr-FR"/>
        </w:rPr>
        <w:t xml:space="preserve"> : </w:t>
      </w:r>
      <w:r w:rsidR="0056000A" w:rsidRPr="000F4A11">
        <w:rPr>
          <w:rFonts w:ascii="Trebuchet MS" w:eastAsia="Times New Roman" w:hAnsi="Trebuchet MS" w:cs="Calibri"/>
          <w:bCs w:val="0"/>
          <w:color w:val="000000"/>
          <w:lang w:eastAsia="fr-FR"/>
        </w:rPr>
        <w:t>Autres raisons de non raccordement du ménage</w:t>
      </w:r>
      <w:bookmarkEnd w:id="227"/>
    </w:p>
    <w:tbl>
      <w:tblPr>
        <w:tblStyle w:val="ENergiemnage"/>
        <w:tblW w:w="6660" w:type="dxa"/>
        <w:tblBorders>
          <w:top w:val="double" w:sz="4" w:space="0" w:color="auto"/>
          <w:bottom w:val="double" w:sz="4" w:space="0" w:color="auto"/>
        </w:tblBorders>
        <w:tblLook w:val="04A0" w:firstRow="1" w:lastRow="0" w:firstColumn="1" w:lastColumn="0" w:noHBand="0" w:noVBand="1"/>
      </w:tblPr>
      <w:tblGrid>
        <w:gridCol w:w="4152"/>
        <w:gridCol w:w="1254"/>
        <w:gridCol w:w="1254"/>
      </w:tblGrid>
      <w:tr w:rsidR="0056000A" w:rsidRPr="005140C8" w:rsidTr="00B12BA8">
        <w:trPr>
          <w:trHeight w:val="264"/>
        </w:trPr>
        <w:tc>
          <w:tcPr>
            <w:tcW w:w="4152"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Libellés</w:t>
            </w:r>
          </w:p>
        </w:tc>
        <w:tc>
          <w:tcPr>
            <w:tcW w:w="1254"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Effectif</w:t>
            </w:r>
          </w:p>
        </w:tc>
        <w:tc>
          <w:tcPr>
            <w:tcW w:w="1254"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Part (%)</w:t>
            </w:r>
          </w:p>
        </w:tc>
      </w:tr>
      <w:tr w:rsidR="0056000A" w:rsidRPr="005140C8" w:rsidTr="00B12BA8">
        <w:trPr>
          <w:trHeight w:val="264"/>
        </w:trPr>
        <w:tc>
          <w:tcPr>
            <w:tcW w:w="4152" w:type="dxa"/>
            <w:tcBorders>
              <w:top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Evite de</w:t>
            </w:r>
            <w:r>
              <w:rPr>
                <w:rFonts w:ascii="Trebuchet MS" w:eastAsia="Times New Roman" w:hAnsi="Trebuchet MS" w:cs="Calibri"/>
                <w:color w:val="000000"/>
                <w:sz w:val="20"/>
                <w:szCs w:val="20"/>
                <w:lang w:eastAsia="fr-FR"/>
              </w:rPr>
              <w:t>s</w:t>
            </w:r>
            <w:r w:rsidRPr="005140C8">
              <w:rPr>
                <w:rFonts w:ascii="Trebuchet MS" w:eastAsia="Times New Roman" w:hAnsi="Trebuchet MS" w:cs="Calibri"/>
                <w:color w:val="000000"/>
                <w:sz w:val="20"/>
                <w:szCs w:val="20"/>
                <w:lang w:eastAsia="fr-FR"/>
              </w:rPr>
              <w:t xml:space="preserve"> problèmes avec les locataires</w:t>
            </w:r>
          </w:p>
        </w:tc>
        <w:tc>
          <w:tcPr>
            <w:tcW w:w="1254" w:type="dxa"/>
            <w:tcBorders>
              <w:top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tcBorders>
              <w:top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Fétiche refusant l'électricité</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6659D1"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Insuffisance de moyens financiers</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22</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70,97</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Je ne suis pas sur place (instable)</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élève et je partirai après</w:t>
            </w:r>
            <w:r w:rsidR="000845A9">
              <w:rPr>
                <w:rFonts w:ascii="Trebuchet MS" w:eastAsia="Times New Roman" w:hAnsi="Trebuchet MS" w:cs="Calibri"/>
                <w:color w:val="000000"/>
                <w:sz w:val="20"/>
                <w:szCs w:val="20"/>
                <w:lang w:eastAsia="fr-FR"/>
              </w:rPr>
              <w:t xml:space="preserve"> le</w:t>
            </w:r>
            <w:r w:rsidRPr="006659D1">
              <w:rPr>
                <w:rFonts w:ascii="Trebuchet MS" w:eastAsia="Times New Roman" w:hAnsi="Trebuchet MS" w:cs="Calibri"/>
                <w:color w:val="000000"/>
                <w:sz w:val="20"/>
                <w:szCs w:val="20"/>
                <w:lang w:eastAsia="fr-FR"/>
              </w:rPr>
              <w:t xml:space="preserve"> bac</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un locataire partant</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vieux pas besoin du courant</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La SBEE ne répond pas aux populations</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N'est pas propriétaire de la parcelle</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5140C8" w:rsidTr="00B12BA8">
        <w:trPr>
          <w:trHeight w:val="264"/>
        </w:trPr>
        <w:tc>
          <w:tcPr>
            <w:tcW w:w="4152" w:type="dxa"/>
            <w:tcBorders>
              <w:bottom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Trouver d'abord un emploi rassurant</w:t>
            </w:r>
          </w:p>
        </w:tc>
        <w:tc>
          <w:tcPr>
            <w:tcW w:w="1254" w:type="dxa"/>
            <w:tcBorders>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tcBorders>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5140C8" w:rsidTr="00B12BA8">
        <w:trPr>
          <w:trHeight w:val="264"/>
        </w:trPr>
        <w:tc>
          <w:tcPr>
            <w:tcW w:w="4152"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1254"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31</w:t>
            </w:r>
          </w:p>
        </w:tc>
        <w:tc>
          <w:tcPr>
            <w:tcW w:w="1254"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100</w:t>
            </w:r>
          </w:p>
        </w:tc>
      </w:tr>
    </w:tbl>
    <w:p w:rsidR="0056000A" w:rsidRPr="0072397D" w:rsidRDefault="0056000A" w:rsidP="00EA04DD">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0D4EE8" w:rsidRDefault="0056000A" w:rsidP="0056000A">
      <w:pPr>
        <w:spacing w:before="240"/>
        <w:jc w:val="both"/>
        <w:rPr>
          <w:rFonts w:ascii="Trebuchet MS" w:hAnsi="Trebuchet MS"/>
        </w:rPr>
      </w:pPr>
      <w:r w:rsidRPr="000D4EE8">
        <w:rPr>
          <w:rFonts w:ascii="Trebuchet MS" w:hAnsi="Trebuchet MS"/>
        </w:rPr>
        <w:t xml:space="preserve">Après avoir analysé les raisons qui pourraient être à l’origine du refus des ménages de se raccorder, l’on s’intéresse à présent aux conditions préalables pour lesquelles les ménages désireux de se connecter le feraient. </w:t>
      </w:r>
    </w:p>
    <w:p w:rsidR="0056000A" w:rsidRPr="000D4EE8" w:rsidRDefault="0056000A" w:rsidP="0056000A">
      <w:pPr>
        <w:jc w:val="both"/>
        <w:rPr>
          <w:rFonts w:ascii="Trebuchet MS" w:hAnsi="Trebuchet MS"/>
        </w:rPr>
      </w:pPr>
      <w:r w:rsidRPr="000D4EE8">
        <w:rPr>
          <w:rFonts w:ascii="Trebuchet MS" w:hAnsi="Trebuchet MS"/>
        </w:rPr>
        <w:t xml:space="preserve">La première condition posée par les ménages est celle de la « diminution du prix de raccordement » qui a été évoquée par la quasi-totalité d’entre eux. Ceci est en cohérence avec la cherté mentionnée ci-dessous par les ménages pour refuser de se raccorder. La deuxième condition est que l’électricité soit disponible durant 24 heures dans la journée. A défaut d’avoir l’électricité 24h/24, les ménages ont une préférence pour une alimentation continue durant la soirée (91,3%) que pendant le jour (86%). </w:t>
      </w:r>
    </w:p>
    <w:p w:rsidR="0056000A" w:rsidRPr="0072397D" w:rsidRDefault="0056000A" w:rsidP="0056000A">
      <w:pPr>
        <w:jc w:val="both"/>
        <w:rPr>
          <w:rFonts w:ascii="Trebuchet MS" w:hAnsi="Trebuchet MS"/>
          <w:sz w:val="24"/>
          <w:szCs w:val="24"/>
        </w:rPr>
      </w:pPr>
      <w:r w:rsidRPr="000D4EE8">
        <w:rPr>
          <w:rFonts w:ascii="Trebuchet MS" w:hAnsi="Trebuchet MS"/>
        </w:rPr>
        <w:t xml:space="preserve">Le coût du KWh fait également partie des déterminants du raccordement des ménages au réseau électrique de la SBEE. En effet, 8 ménages sur 10 ont posé comme condition la réduction du coût du KWh. </w:t>
      </w:r>
    </w:p>
    <w:p w:rsidR="0056000A" w:rsidRPr="00A84240" w:rsidRDefault="00A84240" w:rsidP="00A84240">
      <w:pPr>
        <w:pStyle w:val="Lgende"/>
        <w:keepNext/>
        <w:spacing w:after="0" w:line="240" w:lineRule="auto"/>
        <w:rPr>
          <w:rFonts w:ascii="Trebuchet MS" w:hAnsi="Trebuchet MS"/>
          <w:szCs w:val="24"/>
        </w:rPr>
      </w:pPr>
      <w:bookmarkStart w:id="228" w:name="_Toc426359272"/>
      <w:r w:rsidRPr="00A84240">
        <w:rPr>
          <w:rFonts w:ascii="Trebuchet MS" w:hAnsi="Trebuchet MS"/>
          <w:szCs w:val="24"/>
        </w:rPr>
        <w:t xml:space="preserve">Graphique </w:t>
      </w:r>
      <w:r w:rsidR="00792500" w:rsidRPr="00A84240">
        <w:rPr>
          <w:rFonts w:ascii="Trebuchet MS" w:hAnsi="Trebuchet MS"/>
          <w:szCs w:val="24"/>
        </w:rPr>
        <w:fldChar w:fldCharType="begin"/>
      </w:r>
      <w:r w:rsidRPr="00A84240">
        <w:rPr>
          <w:rFonts w:ascii="Trebuchet MS" w:hAnsi="Trebuchet MS"/>
          <w:szCs w:val="24"/>
        </w:rPr>
        <w:instrText xml:space="preserve"> SEQ Graphique \* ARABIC </w:instrText>
      </w:r>
      <w:r w:rsidR="00792500" w:rsidRPr="00A84240">
        <w:rPr>
          <w:rFonts w:ascii="Trebuchet MS" w:hAnsi="Trebuchet MS"/>
          <w:szCs w:val="24"/>
        </w:rPr>
        <w:fldChar w:fldCharType="separate"/>
      </w:r>
      <w:r w:rsidR="00605DE4">
        <w:rPr>
          <w:rFonts w:ascii="Trebuchet MS" w:hAnsi="Trebuchet MS"/>
          <w:noProof/>
          <w:szCs w:val="24"/>
        </w:rPr>
        <w:t>18</w:t>
      </w:r>
      <w:r w:rsidR="00792500"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Si oui, conditions nécessaires pour que les ménages se raccordent au réseau électrique de la SBEE</w:t>
      </w:r>
      <w:bookmarkEnd w:id="228"/>
    </w:p>
    <w:p w:rsidR="0056000A" w:rsidRDefault="0056000A" w:rsidP="00A84240">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6000A" w:rsidRPr="0072397D" w:rsidRDefault="0056000A" w:rsidP="00A84240">
      <w:pPr>
        <w:keepNext/>
        <w:spacing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0D4EE8" w:rsidRDefault="0056000A" w:rsidP="0056000A">
      <w:pPr>
        <w:spacing w:before="240"/>
        <w:jc w:val="both"/>
        <w:rPr>
          <w:rFonts w:ascii="Trebuchet MS" w:hAnsi="Trebuchet MS"/>
        </w:rPr>
      </w:pPr>
      <w:r>
        <w:rPr>
          <w:rFonts w:ascii="Trebuchet MS" w:hAnsi="Trebuchet MS"/>
        </w:rPr>
        <w:t xml:space="preserve">D’autres conditions ont été posées par les ménages pour se raccorder au réseau. Il s’agit principalement du rapprochement des services de la SBEE de leurs zones d’habitation (lignes électriques et agences). Il y a également la privatisation de la SBEE qui, aux yeux de certains ménages pourrait accélérer les procédures et réduire les délais de raccordement. La subvention du coût de raccordement et du prix du KWh est aussi une raison à prendre en considération. </w:t>
      </w:r>
    </w:p>
    <w:p w:rsidR="0056000A" w:rsidRPr="00A84240" w:rsidRDefault="00A84240" w:rsidP="00A84240">
      <w:pPr>
        <w:pStyle w:val="Lgende"/>
        <w:keepNext/>
        <w:spacing w:after="0" w:line="240" w:lineRule="auto"/>
        <w:rPr>
          <w:rFonts w:ascii="Trebuchet MS" w:hAnsi="Trebuchet MS"/>
          <w:szCs w:val="24"/>
        </w:rPr>
      </w:pPr>
      <w:bookmarkStart w:id="229" w:name="_Toc426359365"/>
      <w:r w:rsidRPr="00A84240">
        <w:rPr>
          <w:rFonts w:ascii="Trebuchet MS" w:hAnsi="Trebuchet MS"/>
          <w:szCs w:val="24"/>
        </w:rPr>
        <w:t xml:space="preserve">Tableau </w:t>
      </w:r>
      <w:r w:rsidR="00792500" w:rsidRPr="00A84240">
        <w:rPr>
          <w:rFonts w:ascii="Trebuchet MS" w:hAnsi="Trebuchet MS"/>
          <w:szCs w:val="24"/>
        </w:rPr>
        <w:fldChar w:fldCharType="begin"/>
      </w:r>
      <w:r w:rsidRPr="00A84240">
        <w:rPr>
          <w:rFonts w:ascii="Trebuchet MS" w:hAnsi="Trebuchet MS"/>
          <w:szCs w:val="24"/>
        </w:rPr>
        <w:instrText xml:space="preserve"> SEQ Tableau \* ARABIC </w:instrText>
      </w:r>
      <w:r w:rsidR="00792500" w:rsidRPr="00A84240">
        <w:rPr>
          <w:rFonts w:ascii="Trebuchet MS" w:hAnsi="Trebuchet MS"/>
          <w:szCs w:val="24"/>
        </w:rPr>
        <w:fldChar w:fldCharType="separate"/>
      </w:r>
      <w:r w:rsidR="00556962">
        <w:rPr>
          <w:rFonts w:ascii="Trebuchet MS" w:hAnsi="Trebuchet MS"/>
          <w:noProof/>
          <w:szCs w:val="24"/>
        </w:rPr>
        <w:t>46</w:t>
      </w:r>
      <w:r w:rsidR="00792500"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Autres conditions posées par les ménages situés dans des zones où il n’y a pas l’électricité pour se raccorder</w:t>
      </w:r>
      <w:bookmarkEnd w:id="229"/>
    </w:p>
    <w:tbl>
      <w:tblPr>
        <w:tblStyle w:val="ENergiemnage"/>
        <w:tblW w:w="7022" w:type="dxa"/>
        <w:tblBorders>
          <w:top w:val="double" w:sz="4" w:space="0" w:color="auto"/>
          <w:bottom w:val="double" w:sz="4" w:space="0" w:color="auto"/>
        </w:tblBorders>
        <w:tblLook w:val="04A0" w:firstRow="1" w:lastRow="0" w:firstColumn="1" w:lastColumn="0" w:noHBand="0" w:noVBand="1"/>
      </w:tblPr>
      <w:tblGrid>
        <w:gridCol w:w="5042"/>
        <w:gridCol w:w="952"/>
        <w:gridCol w:w="1028"/>
      </w:tblGrid>
      <w:tr w:rsidR="0056000A" w:rsidRPr="008F65FB" w:rsidTr="00B12BA8">
        <w:trPr>
          <w:trHeight w:val="266"/>
        </w:trPr>
        <w:tc>
          <w:tcPr>
            <w:tcW w:w="5042"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 xml:space="preserve">Libellé des </w:t>
            </w:r>
            <w:r w:rsidRPr="00A43CB2">
              <w:rPr>
                <w:rFonts w:ascii="Trebuchet MS" w:eastAsia="Times New Roman" w:hAnsi="Trebuchet MS" w:cs="Calibri"/>
                <w:b/>
                <w:bCs/>
                <w:color w:val="000000"/>
                <w:sz w:val="20"/>
                <w:szCs w:val="20"/>
                <w:lang w:eastAsia="fr-FR"/>
              </w:rPr>
              <w:t>a</w:t>
            </w:r>
            <w:r w:rsidRPr="008F65FB">
              <w:rPr>
                <w:rFonts w:ascii="Trebuchet MS" w:eastAsia="Times New Roman" w:hAnsi="Trebuchet MS" w:cs="Calibri"/>
                <w:b/>
                <w:bCs/>
                <w:color w:val="000000"/>
                <w:sz w:val="20"/>
                <w:szCs w:val="20"/>
                <w:lang w:eastAsia="fr-FR"/>
              </w:rPr>
              <w:t>utres conditions précisées</w:t>
            </w:r>
          </w:p>
        </w:tc>
        <w:tc>
          <w:tcPr>
            <w:tcW w:w="952"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Effectif</w:t>
            </w:r>
          </w:p>
        </w:tc>
        <w:tc>
          <w:tcPr>
            <w:tcW w:w="1028"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Part (%)</w:t>
            </w:r>
          </w:p>
        </w:tc>
      </w:tr>
      <w:tr w:rsidR="0056000A" w:rsidRPr="008F65FB" w:rsidTr="00B12BA8">
        <w:trPr>
          <w:trHeight w:val="70"/>
        </w:trPr>
        <w:tc>
          <w:tcPr>
            <w:tcW w:w="5042" w:type="dxa"/>
            <w:tcBorders>
              <w:top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A toutes les conditions</w:t>
            </w:r>
          </w:p>
        </w:tc>
        <w:tc>
          <w:tcPr>
            <w:tcW w:w="952" w:type="dxa"/>
            <w:tcBorders>
              <w:top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tcBorders>
              <w:top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Création d'agence de la SBEE dans la zone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Diminuer le prix de raccordement</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Diminution de la facture et du prix de raccordement</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Faire confiance à la SBEE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134"/>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Les poteaux très éloignés</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Ne pas se fait raccorder par un autre ménage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Privatisation de la SBEE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Privatisation égale branchement facile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Privatiser SBEE égale abonnement facile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Que le courant vienne d'abord</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2</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10,5</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Rapprochement du poteau électrique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2</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10,5</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Rapprochement des postes de paiement</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80"/>
        </w:trPr>
        <w:tc>
          <w:tcPr>
            <w:tcW w:w="5042"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Subvention a un prix forfaitaire</w:t>
            </w:r>
          </w:p>
        </w:tc>
        <w:tc>
          <w:tcPr>
            <w:tcW w:w="95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3</w:t>
            </w:r>
          </w:p>
        </w:tc>
        <w:tc>
          <w:tcPr>
            <w:tcW w:w="1028"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15,8</w:t>
            </w:r>
          </w:p>
        </w:tc>
      </w:tr>
      <w:tr w:rsidR="0056000A" w:rsidRPr="008F65FB" w:rsidTr="00B12BA8">
        <w:trPr>
          <w:trHeight w:val="80"/>
        </w:trPr>
        <w:tc>
          <w:tcPr>
            <w:tcW w:w="5042" w:type="dxa"/>
            <w:tcBorders>
              <w:bottom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Vite être raccordé une fois le paiement effectué</w:t>
            </w:r>
          </w:p>
        </w:tc>
        <w:tc>
          <w:tcPr>
            <w:tcW w:w="952" w:type="dxa"/>
            <w:tcBorders>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028" w:type="dxa"/>
            <w:tcBorders>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B12BA8">
        <w:trPr>
          <w:trHeight w:val="70"/>
        </w:trPr>
        <w:tc>
          <w:tcPr>
            <w:tcW w:w="5042"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Total</w:t>
            </w:r>
          </w:p>
        </w:tc>
        <w:tc>
          <w:tcPr>
            <w:tcW w:w="952"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19</w:t>
            </w:r>
          </w:p>
        </w:tc>
        <w:tc>
          <w:tcPr>
            <w:tcW w:w="1028"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100,0</w:t>
            </w:r>
          </w:p>
        </w:tc>
      </w:tr>
    </w:tbl>
    <w:p w:rsidR="0056000A"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FE3C1F" w:rsidRDefault="0056000A" w:rsidP="0056000A">
      <w:pPr>
        <w:spacing w:before="240"/>
        <w:jc w:val="both"/>
        <w:rPr>
          <w:rFonts w:ascii="Trebuchet MS" w:hAnsi="Trebuchet MS"/>
        </w:rPr>
      </w:pPr>
      <w:r w:rsidRPr="00FE3C1F">
        <w:rPr>
          <w:rFonts w:ascii="Trebuchet MS" w:hAnsi="Trebuchet MS"/>
        </w:rPr>
        <w:t xml:space="preserve">En moyenne les ménages non connectés et situés dans des zones où il existe l’électricité, sont à 974 mètres du poteau électrique le plus proche soit à environ 1 KM. En milieu urbain, les ménages non raccordés sont deux fois plus proches des poteaux électriques que les ménages du milieu rural (592 mètres contre 1161). </w:t>
      </w:r>
    </w:p>
    <w:p w:rsidR="0056000A" w:rsidRPr="00FE3C1F" w:rsidRDefault="0056000A" w:rsidP="0056000A">
      <w:pPr>
        <w:jc w:val="both"/>
        <w:rPr>
          <w:rFonts w:ascii="Trebuchet MS" w:hAnsi="Trebuchet MS"/>
        </w:rPr>
      </w:pPr>
      <w:r w:rsidRPr="00FE3C1F">
        <w:rPr>
          <w:rFonts w:ascii="Trebuchet MS" w:hAnsi="Trebuchet MS"/>
        </w:rPr>
        <w:t>Pour ce qui est des départements, c’est dans le littoral (61 m) que les ménages non connectés sont le plus proches des poteaux électriques contrairement aux départements des Collines, du Couffo, de l’Atacora et du Plateau où les ménages sont en moyenne à plus de 2 Km du poteau le plus proche.</w:t>
      </w:r>
    </w:p>
    <w:p w:rsidR="0056000A" w:rsidRPr="00FE3C1F" w:rsidRDefault="0056000A" w:rsidP="0056000A">
      <w:pPr>
        <w:jc w:val="both"/>
        <w:rPr>
          <w:rFonts w:ascii="Trebuchet MS" w:hAnsi="Trebuchet MS"/>
        </w:rPr>
      </w:pPr>
      <w:r w:rsidRPr="00FE3C1F">
        <w:rPr>
          <w:rFonts w:ascii="Trebuchet MS" w:hAnsi="Trebuchet MS"/>
        </w:rPr>
        <w:t>L’enquête s’est également intéressée au montant que les ménages non connectés et résident dans une zone pourvue d’électricité, sont disposés à payer pour se raccorder. Il en ressort qu’en moyenne, les ménages sont prêts à payer 53 718 FCFA pour se connecter au réseau électrique de la SBEE. Le montant déclaré par chaque ménage ne correspond pas à un type de branchement particulier auquel il voudrait souscrire. Ici également on observe des disparités selon le milieu de résidence et le département.</w:t>
      </w:r>
      <w:r>
        <w:rPr>
          <w:rFonts w:ascii="Trebuchet MS" w:hAnsi="Trebuchet MS"/>
        </w:rPr>
        <w:t xml:space="preserve"> Le montant moyen le plus faible que les ménages sont disposés à payer pour se raccorder s’observe dans le département du Mono (40155 FCFA) et le montant le plus élevé dans le Couffo (70652 FCFA).</w:t>
      </w:r>
    </w:p>
    <w:p w:rsidR="0056000A" w:rsidRPr="00A84240" w:rsidRDefault="00A84240" w:rsidP="00A84240">
      <w:pPr>
        <w:pStyle w:val="Lgende"/>
        <w:keepNext/>
        <w:spacing w:after="0"/>
        <w:rPr>
          <w:rFonts w:ascii="Trebuchet MS" w:hAnsi="Trebuchet MS"/>
          <w:szCs w:val="24"/>
        </w:rPr>
      </w:pPr>
      <w:bookmarkStart w:id="230" w:name="_Toc426359366"/>
      <w:r w:rsidRPr="00A84240">
        <w:rPr>
          <w:rFonts w:ascii="Trebuchet MS" w:hAnsi="Trebuchet MS"/>
          <w:szCs w:val="24"/>
        </w:rPr>
        <w:t xml:space="preserve">Tableau </w:t>
      </w:r>
      <w:r w:rsidR="00792500" w:rsidRPr="00A84240">
        <w:rPr>
          <w:rFonts w:ascii="Trebuchet MS" w:hAnsi="Trebuchet MS"/>
          <w:szCs w:val="24"/>
        </w:rPr>
        <w:fldChar w:fldCharType="begin"/>
      </w:r>
      <w:r w:rsidRPr="00A84240">
        <w:rPr>
          <w:rFonts w:ascii="Trebuchet MS" w:hAnsi="Trebuchet MS"/>
          <w:szCs w:val="24"/>
        </w:rPr>
        <w:instrText xml:space="preserve"> SEQ Tableau \* ARABIC </w:instrText>
      </w:r>
      <w:r w:rsidR="00792500" w:rsidRPr="00A84240">
        <w:rPr>
          <w:rFonts w:ascii="Trebuchet MS" w:hAnsi="Trebuchet MS"/>
          <w:szCs w:val="24"/>
        </w:rPr>
        <w:fldChar w:fldCharType="separate"/>
      </w:r>
      <w:r w:rsidR="00556962">
        <w:rPr>
          <w:rFonts w:ascii="Trebuchet MS" w:hAnsi="Trebuchet MS"/>
          <w:noProof/>
          <w:szCs w:val="24"/>
        </w:rPr>
        <w:t>47</w:t>
      </w:r>
      <w:r w:rsidR="00792500"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Distance avec le poteau électrique le plus proche</w:t>
      </w:r>
      <w:bookmarkEnd w:id="230"/>
    </w:p>
    <w:tbl>
      <w:tblPr>
        <w:tblStyle w:val="ENergiemnage"/>
        <w:tblW w:w="9288" w:type="dxa"/>
        <w:tblBorders>
          <w:top w:val="double" w:sz="4" w:space="0" w:color="auto"/>
          <w:bottom w:val="double" w:sz="4" w:space="0" w:color="auto"/>
        </w:tblBorders>
        <w:tblLook w:val="04A0" w:firstRow="1" w:lastRow="0" w:firstColumn="1" w:lastColumn="0" w:noHBand="0" w:noVBand="1"/>
      </w:tblPr>
      <w:tblGrid>
        <w:gridCol w:w="2703"/>
        <w:gridCol w:w="3047"/>
        <w:gridCol w:w="3538"/>
      </w:tblGrid>
      <w:tr w:rsidR="0056000A" w:rsidRPr="0072397D" w:rsidTr="00B12BA8">
        <w:trPr>
          <w:trHeight w:val="640"/>
        </w:trPr>
        <w:tc>
          <w:tcPr>
            <w:tcW w:w="2703"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 </w:t>
            </w:r>
          </w:p>
        </w:tc>
        <w:tc>
          <w:tcPr>
            <w:tcW w:w="3047" w:type="dxa"/>
            <w:tcBorders>
              <w:top w:val="double" w:sz="4" w:space="0" w:color="auto"/>
              <w:bottom w:val="single" w:sz="4" w:space="0" w:color="auto"/>
            </w:tcBorders>
            <w:hideMark/>
          </w:tcPr>
          <w:p w:rsidR="0056000A" w:rsidRPr="0072397D" w:rsidRDefault="0056000A" w:rsidP="00A84240">
            <w:pPr>
              <w:keepNext/>
              <w:spacing w:after="0" w:line="240" w:lineRule="auto"/>
              <w:jc w:val="center"/>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Distance moyenne séparant le ménage du poteau électrique le plus proche (Mètres)</w:t>
            </w:r>
          </w:p>
        </w:tc>
        <w:tc>
          <w:tcPr>
            <w:tcW w:w="3538" w:type="dxa"/>
            <w:tcBorders>
              <w:top w:val="double" w:sz="4" w:space="0" w:color="auto"/>
              <w:bottom w:val="single" w:sz="4" w:space="0" w:color="auto"/>
            </w:tcBorders>
            <w:hideMark/>
          </w:tcPr>
          <w:p w:rsidR="0056000A" w:rsidRPr="0072397D" w:rsidRDefault="0056000A" w:rsidP="00A84240">
            <w:pPr>
              <w:keepNext/>
              <w:spacing w:after="0" w:line="240" w:lineRule="auto"/>
              <w:jc w:val="center"/>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 xml:space="preserve">Montant moyen que sont prêts à payer les ménages </w:t>
            </w:r>
            <w:r>
              <w:rPr>
                <w:rFonts w:ascii="Trebuchet MS" w:eastAsia="Times New Roman" w:hAnsi="Trebuchet MS" w:cs="Calibri"/>
                <w:b/>
                <w:color w:val="000000"/>
                <w:sz w:val="20"/>
                <w:szCs w:val="20"/>
                <w:lang w:eastAsia="fr-FR"/>
              </w:rPr>
              <w:t xml:space="preserve">n’ayant pas l’électricité dans leur zones </w:t>
            </w:r>
            <w:r w:rsidRPr="0072397D">
              <w:rPr>
                <w:rFonts w:ascii="Trebuchet MS" w:eastAsia="Times New Roman" w:hAnsi="Trebuchet MS" w:cs="Calibri"/>
                <w:b/>
                <w:color w:val="000000"/>
                <w:sz w:val="20"/>
                <w:szCs w:val="20"/>
                <w:lang w:eastAsia="fr-FR"/>
              </w:rPr>
              <w:t>pour se raccorder (FCFA)</w:t>
            </w:r>
          </w:p>
        </w:tc>
      </w:tr>
      <w:tr w:rsidR="0056000A" w:rsidRPr="0072397D" w:rsidTr="00B12BA8">
        <w:trPr>
          <w:trHeight w:val="190"/>
        </w:trPr>
        <w:tc>
          <w:tcPr>
            <w:tcW w:w="2703" w:type="dxa"/>
            <w:tcBorders>
              <w:top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Milieu de résidence</w:t>
            </w:r>
          </w:p>
        </w:tc>
        <w:tc>
          <w:tcPr>
            <w:tcW w:w="3047" w:type="dxa"/>
            <w:tcBorders>
              <w:top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c>
          <w:tcPr>
            <w:tcW w:w="3538" w:type="dxa"/>
            <w:tcBorders>
              <w:top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Urbain</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596</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60 525</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Rural</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1 161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50 374</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Ensemble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53 718</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Département de résidence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ALIBORI</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1 097</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50 966</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ATACORA</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2 041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43 944</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ATLANTIQUE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500</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61 173</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BORGOU</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63 391</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COLLINES</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2 055</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44 520</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COUFFO</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2 051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70 652</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DONGA</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170</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50 798</w:t>
            </w:r>
          </w:p>
        </w:tc>
      </w:tr>
      <w:tr w:rsidR="0056000A" w:rsidRPr="0072397D" w:rsidTr="00B12BA8">
        <w:trPr>
          <w:trHeight w:val="231"/>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LITTORAL</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45 357</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MONO</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379</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40 155</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OUEME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1 044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63 847</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PLATEAU</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2 022</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52 632</w:t>
            </w:r>
          </w:p>
        </w:tc>
      </w:tr>
      <w:tr w:rsidR="0056000A" w:rsidRPr="0072397D" w:rsidTr="00B12BA8">
        <w:trPr>
          <w:trHeight w:val="190"/>
        </w:trPr>
        <w:tc>
          <w:tcPr>
            <w:tcW w:w="2703" w:type="dxa"/>
            <w:tcBorders>
              <w:bottom w:val="single" w:sz="4" w:space="0" w:color="auto"/>
            </w:tcBorders>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ZOU</w:t>
            </w:r>
          </w:p>
        </w:tc>
        <w:tc>
          <w:tcPr>
            <w:tcW w:w="3047" w:type="dxa"/>
            <w:tcBorders>
              <w:bottom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769</w:t>
            </w:r>
          </w:p>
        </w:tc>
        <w:tc>
          <w:tcPr>
            <w:tcW w:w="3538" w:type="dxa"/>
            <w:tcBorders>
              <w:bottom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55 376</w:t>
            </w:r>
          </w:p>
        </w:tc>
      </w:tr>
      <w:tr w:rsidR="0056000A" w:rsidRPr="0072397D" w:rsidTr="00B12BA8">
        <w:trPr>
          <w:trHeight w:val="190"/>
        </w:trPr>
        <w:tc>
          <w:tcPr>
            <w:tcW w:w="2703" w:type="dxa"/>
            <w:tcBorders>
              <w:top w:val="single" w:sz="4" w:space="0" w:color="auto"/>
              <w:bottom w:val="doub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Ensemble</w:t>
            </w:r>
          </w:p>
        </w:tc>
        <w:tc>
          <w:tcPr>
            <w:tcW w:w="3047" w:type="dxa"/>
            <w:tcBorders>
              <w:top w:val="single" w:sz="4" w:space="0" w:color="auto"/>
              <w:bottom w:val="doub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974</w:t>
            </w:r>
          </w:p>
        </w:tc>
        <w:tc>
          <w:tcPr>
            <w:tcW w:w="3538" w:type="dxa"/>
            <w:tcBorders>
              <w:top w:val="single" w:sz="4" w:space="0" w:color="auto"/>
              <w:bottom w:val="doub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53 718</w:t>
            </w:r>
          </w:p>
        </w:tc>
      </w:tr>
    </w:tbl>
    <w:p w:rsidR="0056000A" w:rsidRPr="0072397D"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E46327" w:rsidP="00F03E08">
      <w:pPr>
        <w:pStyle w:val="Titre4"/>
      </w:pPr>
      <w:bookmarkStart w:id="231" w:name="_Toc426359476"/>
      <w:r>
        <w:t>4</w:t>
      </w:r>
      <w:r w:rsidR="0056000A" w:rsidRPr="0072397D">
        <w:t>.1.</w:t>
      </w:r>
      <w:r>
        <w:t>2</w:t>
      </w:r>
      <w:r w:rsidR="0056000A" w:rsidRPr="0072397D">
        <w:t xml:space="preserve"> Cas des ménages situés dans des zones où il n’y a pas l’électricité</w:t>
      </w:r>
      <w:bookmarkEnd w:id="231"/>
    </w:p>
    <w:p w:rsidR="0056000A" w:rsidRDefault="0056000A" w:rsidP="0056000A">
      <w:pPr>
        <w:spacing w:before="240"/>
        <w:jc w:val="both"/>
        <w:rPr>
          <w:rFonts w:ascii="Trebuchet MS" w:hAnsi="Trebuchet MS"/>
          <w:sz w:val="24"/>
          <w:szCs w:val="24"/>
        </w:rPr>
      </w:pPr>
      <w:r w:rsidRPr="00FD5CC2">
        <w:rPr>
          <w:rFonts w:ascii="Trebuchet MS" w:hAnsi="Trebuchet MS"/>
          <w:szCs w:val="24"/>
        </w:rPr>
        <w:t xml:space="preserve">Cette section traite de la volonté des ménages situés dans des zones où il n’y a pas l’électricité, à se raccorder au réseau. A la question de savoir si les ménages se raccorderaient au réseau électrique si celui-ci s’étendait à leur zone, la majorité (56,0%) des ménages ont répondu par l’affirmative. Mais cette proportion est de loin inférieure à celle des ménages situés dans des zones </w:t>
      </w:r>
      <w:r>
        <w:rPr>
          <w:rFonts w:ascii="Trebuchet MS" w:hAnsi="Trebuchet MS"/>
          <w:szCs w:val="24"/>
        </w:rPr>
        <w:t xml:space="preserve">déjà électrifiées </w:t>
      </w:r>
      <w:r w:rsidRPr="00FD5CC2">
        <w:rPr>
          <w:rFonts w:ascii="Trebuchet MS" w:hAnsi="Trebuchet MS"/>
          <w:szCs w:val="24"/>
        </w:rPr>
        <w:t>et qui souhaitent se raccorder (87%).</w:t>
      </w:r>
    </w:p>
    <w:p w:rsidR="0056000A" w:rsidRPr="00A84240" w:rsidRDefault="00A84240" w:rsidP="00A84240">
      <w:pPr>
        <w:pStyle w:val="Lgende"/>
        <w:keepNext/>
        <w:spacing w:after="0"/>
        <w:rPr>
          <w:rFonts w:ascii="Trebuchet MS" w:eastAsia="Times New Roman" w:hAnsi="Trebuchet MS" w:cs="Calibri"/>
          <w:bCs w:val="0"/>
          <w:color w:val="000000"/>
          <w:lang w:eastAsia="fr-FR"/>
        </w:rPr>
      </w:pPr>
      <w:bookmarkStart w:id="232" w:name="_Toc426359367"/>
      <w:r w:rsidRPr="00A84240">
        <w:rPr>
          <w:rFonts w:ascii="Trebuchet MS" w:eastAsia="Times New Roman" w:hAnsi="Trebuchet MS" w:cs="Calibri"/>
          <w:bCs w:val="0"/>
          <w:color w:val="000000"/>
          <w:lang w:eastAsia="fr-FR"/>
        </w:rPr>
        <w:t xml:space="preserve">Tableau </w:t>
      </w:r>
      <w:r w:rsidR="00792500" w:rsidRPr="00A84240">
        <w:rPr>
          <w:rFonts w:ascii="Trebuchet MS" w:eastAsia="Times New Roman" w:hAnsi="Trebuchet MS" w:cs="Calibri"/>
          <w:bCs w:val="0"/>
          <w:color w:val="000000"/>
          <w:lang w:eastAsia="fr-FR"/>
        </w:rPr>
        <w:fldChar w:fldCharType="begin"/>
      </w:r>
      <w:r w:rsidRPr="00A84240">
        <w:rPr>
          <w:rFonts w:ascii="Trebuchet MS" w:eastAsia="Times New Roman" w:hAnsi="Trebuchet MS" w:cs="Calibri"/>
          <w:bCs w:val="0"/>
          <w:color w:val="000000"/>
          <w:lang w:eastAsia="fr-FR"/>
        </w:rPr>
        <w:instrText xml:space="preserve"> SEQ Tableau \* ARABIC </w:instrText>
      </w:r>
      <w:r w:rsidR="00792500" w:rsidRPr="00A84240">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48</w:t>
      </w:r>
      <w:r w:rsidR="00792500" w:rsidRPr="00A84240">
        <w:rPr>
          <w:rFonts w:ascii="Trebuchet MS" w:eastAsia="Times New Roman" w:hAnsi="Trebuchet MS" w:cs="Calibri"/>
          <w:bCs w:val="0"/>
          <w:color w:val="000000"/>
          <w:lang w:eastAsia="fr-FR"/>
        </w:rPr>
        <w:fldChar w:fldCharType="end"/>
      </w:r>
      <w:r w:rsidRPr="00A84240">
        <w:rPr>
          <w:rFonts w:ascii="Trebuchet MS" w:eastAsia="Times New Roman" w:hAnsi="Trebuchet MS" w:cs="Calibri"/>
          <w:bCs w:val="0"/>
          <w:color w:val="000000"/>
          <w:lang w:eastAsia="fr-FR"/>
        </w:rPr>
        <w:t xml:space="preserve"> : </w:t>
      </w:r>
      <w:r w:rsidR="0056000A" w:rsidRPr="00A84240">
        <w:rPr>
          <w:rFonts w:ascii="Trebuchet MS" w:eastAsia="Times New Roman" w:hAnsi="Trebuchet MS" w:cs="Calibri"/>
          <w:bCs w:val="0"/>
          <w:color w:val="000000"/>
          <w:lang w:eastAsia="fr-FR"/>
        </w:rPr>
        <w:t>Disposition des ménages à se raccorder au réseau si celui-ci s'étendait à leur zone</w:t>
      </w:r>
      <w:bookmarkEnd w:id="232"/>
    </w:p>
    <w:tbl>
      <w:tblPr>
        <w:tblStyle w:val="ENergiemnage"/>
        <w:tblW w:w="7759" w:type="dxa"/>
        <w:tblBorders>
          <w:top w:val="double" w:sz="4" w:space="0" w:color="auto"/>
          <w:bottom w:val="double" w:sz="4" w:space="0" w:color="auto"/>
        </w:tblBorders>
        <w:tblLook w:val="04A0" w:firstRow="1" w:lastRow="0" w:firstColumn="1" w:lastColumn="0" w:noHBand="0" w:noVBand="1"/>
      </w:tblPr>
      <w:tblGrid>
        <w:gridCol w:w="5820"/>
        <w:gridCol w:w="949"/>
        <w:gridCol w:w="990"/>
      </w:tblGrid>
      <w:tr w:rsidR="0056000A" w:rsidRPr="0072397D" w:rsidTr="00B12BA8">
        <w:trPr>
          <w:trHeight w:val="325"/>
        </w:trPr>
        <w:tc>
          <w:tcPr>
            <w:tcW w:w="5820" w:type="dxa"/>
            <w:tcBorders>
              <w:top w:val="double" w:sz="4" w:space="0" w:color="auto"/>
              <w:bottom w:val="single" w:sz="4" w:space="0" w:color="auto"/>
            </w:tcBorders>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Ménage se raccorderait-il si le réseau s'étendait à sa zone ?</w:t>
            </w:r>
          </w:p>
        </w:tc>
        <w:tc>
          <w:tcPr>
            <w:tcW w:w="949"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56000A" w:rsidRPr="0072397D" w:rsidTr="00B12BA8">
        <w:trPr>
          <w:trHeight w:val="300"/>
        </w:trPr>
        <w:tc>
          <w:tcPr>
            <w:tcW w:w="5820" w:type="dxa"/>
            <w:tcBorders>
              <w:top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Oui</w:t>
            </w:r>
          </w:p>
        </w:tc>
        <w:tc>
          <w:tcPr>
            <w:tcW w:w="949" w:type="dxa"/>
            <w:tcBorders>
              <w:top w:val="single" w:sz="4" w:space="0" w:color="auto"/>
            </w:tcBorders>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849</w:t>
            </w:r>
          </w:p>
        </w:tc>
        <w:tc>
          <w:tcPr>
            <w:tcW w:w="990" w:type="dxa"/>
            <w:tcBorders>
              <w:top w:val="single" w:sz="4" w:space="0" w:color="auto"/>
            </w:tcBorders>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56,0</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62</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4,1</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604</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39,9</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1515</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56000A" w:rsidRPr="0072397D"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5D5407" w:rsidRDefault="0056000A" w:rsidP="0056000A">
      <w:pPr>
        <w:spacing w:before="240"/>
        <w:jc w:val="both"/>
        <w:rPr>
          <w:rFonts w:ascii="Trebuchet MS" w:hAnsi="Trebuchet MS"/>
          <w:szCs w:val="24"/>
        </w:rPr>
      </w:pPr>
      <w:r w:rsidRPr="00FD5CC2">
        <w:rPr>
          <w:rFonts w:ascii="Trebuchet MS" w:hAnsi="Trebuchet MS"/>
          <w:szCs w:val="24"/>
        </w:rPr>
        <w:t xml:space="preserve">Les raisons évoquées par les ménages situés dans des zones où il n’y a pas encore l’électricité </w:t>
      </w:r>
      <w:r>
        <w:rPr>
          <w:rFonts w:ascii="Trebuchet MS" w:hAnsi="Trebuchet MS"/>
          <w:szCs w:val="24"/>
        </w:rPr>
        <w:t xml:space="preserve">et qui ont exprimé le refus de se connecter </w:t>
      </w:r>
      <w:r w:rsidRPr="00FD5CC2">
        <w:rPr>
          <w:rFonts w:ascii="Trebuchet MS" w:hAnsi="Trebuchet MS"/>
          <w:szCs w:val="24"/>
        </w:rPr>
        <w:t xml:space="preserve">sont par ordre d’importance les mêmes que ceux mentionnées par les ménages ayant l’électricité dans leur zone, mais dans des proportions moindres. Certains ménages ont exprimé une préférence pour l’eau potable plutôt que d’avoir l’électricité et d’autres ont relevé la nécessité de disposer panneaux solaires comme source d’énergie. </w:t>
      </w:r>
    </w:p>
    <w:p w:rsidR="0056000A" w:rsidRPr="00304259" w:rsidRDefault="00304259" w:rsidP="00304259">
      <w:pPr>
        <w:pStyle w:val="Lgende"/>
        <w:keepNext/>
        <w:spacing w:after="0"/>
        <w:jc w:val="both"/>
        <w:rPr>
          <w:rFonts w:ascii="Trebuchet MS" w:hAnsi="Trebuchet MS"/>
          <w:szCs w:val="24"/>
        </w:rPr>
      </w:pPr>
      <w:bookmarkStart w:id="233" w:name="_Toc426359273"/>
      <w:r w:rsidRPr="00304259">
        <w:rPr>
          <w:rFonts w:ascii="Trebuchet MS" w:hAnsi="Trebuchet MS"/>
          <w:szCs w:val="24"/>
        </w:rPr>
        <w:t xml:space="preserve">Graphique </w:t>
      </w:r>
      <w:r w:rsidR="00792500" w:rsidRPr="00304259">
        <w:rPr>
          <w:rFonts w:ascii="Trebuchet MS" w:hAnsi="Trebuchet MS"/>
          <w:szCs w:val="24"/>
        </w:rPr>
        <w:fldChar w:fldCharType="begin"/>
      </w:r>
      <w:r w:rsidRPr="00304259">
        <w:rPr>
          <w:rFonts w:ascii="Trebuchet MS" w:hAnsi="Trebuchet MS"/>
          <w:szCs w:val="24"/>
        </w:rPr>
        <w:instrText xml:space="preserve"> SEQ Graphique \* ARABIC </w:instrText>
      </w:r>
      <w:r w:rsidR="00792500" w:rsidRPr="00304259">
        <w:rPr>
          <w:rFonts w:ascii="Trebuchet MS" w:hAnsi="Trebuchet MS"/>
          <w:szCs w:val="24"/>
        </w:rPr>
        <w:fldChar w:fldCharType="separate"/>
      </w:r>
      <w:r w:rsidR="00605DE4">
        <w:rPr>
          <w:rFonts w:ascii="Trebuchet MS" w:hAnsi="Trebuchet MS"/>
          <w:noProof/>
          <w:szCs w:val="24"/>
        </w:rPr>
        <w:t>19</w:t>
      </w:r>
      <w:r w:rsidR="00792500" w:rsidRPr="00304259">
        <w:rPr>
          <w:rFonts w:ascii="Trebuchet MS" w:hAnsi="Trebuchet MS"/>
          <w:szCs w:val="24"/>
        </w:rPr>
        <w:fldChar w:fldCharType="end"/>
      </w:r>
      <w:r w:rsidRPr="00304259">
        <w:rPr>
          <w:rFonts w:ascii="Trebuchet MS" w:hAnsi="Trebuchet MS"/>
          <w:szCs w:val="24"/>
        </w:rPr>
        <w:t xml:space="preserve"> : </w:t>
      </w:r>
      <w:r w:rsidR="0056000A" w:rsidRPr="00304259">
        <w:rPr>
          <w:rFonts w:ascii="Trebuchet MS" w:hAnsi="Trebuchet MS"/>
          <w:szCs w:val="24"/>
        </w:rPr>
        <w:t>Raisons justifiant le non raccordement des ménages dans des zones non électrifiées</w:t>
      </w:r>
      <w:bookmarkEnd w:id="233"/>
    </w:p>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622E94" w:rsidRDefault="0056000A" w:rsidP="0056000A">
      <w:pPr>
        <w:spacing w:before="240"/>
        <w:jc w:val="both"/>
        <w:rPr>
          <w:rFonts w:ascii="Trebuchet MS" w:hAnsi="Trebuchet MS"/>
        </w:rPr>
      </w:pPr>
      <w:r w:rsidRPr="00622E94">
        <w:rPr>
          <w:rFonts w:ascii="Trebuchet MS" w:hAnsi="Trebuchet MS"/>
        </w:rPr>
        <w:t xml:space="preserve">Parmi les 849 ménages qui ont exprimé la volonté de se raccorder au réseau électrique, 537 sont prêts à débourser au moins 100000 FCFA pour se raccorder. Cela traduit une réelle volonté de la part des ménages qui sont disposés à fournir des efforts financiers substantiels pour se raccorder. Rappelons que le montant moyen que sont disposés à payer les ménages situés dans des zones électrifiées est de 53718 FCFA. </w:t>
      </w:r>
    </w:p>
    <w:p w:rsidR="0056000A" w:rsidRPr="00304259" w:rsidRDefault="00304259" w:rsidP="00304259">
      <w:pPr>
        <w:pStyle w:val="Lgende"/>
        <w:keepNext/>
        <w:spacing w:after="0"/>
        <w:rPr>
          <w:rFonts w:ascii="Trebuchet MS" w:eastAsia="Times New Roman" w:hAnsi="Trebuchet MS" w:cs="Calibri"/>
          <w:bCs w:val="0"/>
          <w:color w:val="000000"/>
          <w:lang w:eastAsia="fr-FR"/>
        </w:rPr>
      </w:pPr>
      <w:bookmarkStart w:id="234" w:name="_Toc426359368"/>
      <w:r w:rsidRPr="00304259">
        <w:rPr>
          <w:rFonts w:ascii="Trebuchet MS" w:eastAsia="Times New Roman" w:hAnsi="Trebuchet MS" w:cs="Calibri"/>
          <w:bCs w:val="0"/>
          <w:color w:val="000000"/>
          <w:lang w:eastAsia="fr-FR"/>
        </w:rPr>
        <w:t xml:space="preserve">Tableau </w:t>
      </w:r>
      <w:r w:rsidR="00792500" w:rsidRPr="00304259">
        <w:rPr>
          <w:rFonts w:ascii="Trebuchet MS" w:eastAsia="Times New Roman" w:hAnsi="Trebuchet MS" w:cs="Calibri"/>
          <w:bCs w:val="0"/>
          <w:color w:val="000000"/>
          <w:lang w:eastAsia="fr-FR"/>
        </w:rPr>
        <w:fldChar w:fldCharType="begin"/>
      </w:r>
      <w:r w:rsidRPr="00304259">
        <w:rPr>
          <w:rFonts w:ascii="Trebuchet MS" w:eastAsia="Times New Roman" w:hAnsi="Trebuchet MS" w:cs="Calibri"/>
          <w:bCs w:val="0"/>
          <w:color w:val="000000"/>
          <w:lang w:eastAsia="fr-FR"/>
        </w:rPr>
        <w:instrText xml:space="preserve"> SEQ Tableau \* ARABIC </w:instrText>
      </w:r>
      <w:r w:rsidR="00792500" w:rsidRPr="00304259">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49</w:t>
      </w:r>
      <w:r w:rsidR="00792500" w:rsidRPr="00304259">
        <w:rPr>
          <w:rFonts w:ascii="Trebuchet MS" w:eastAsia="Times New Roman" w:hAnsi="Trebuchet MS" w:cs="Calibri"/>
          <w:bCs w:val="0"/>
          <w:color w:val="000000"/>
          <w:lang w:eastAsia="fr-FR"/>
        </w:rPr>
        <w:fldChar w:fldCharType="end"/>
      </w:r>
      <w:r w:rsidRPr="00304259">
        <w:rPr>
          <w:rFonts w:ascii="Trebuchet MS" w:eastAsia="Times New Roman" w:hAnsi="Trebuchet MS" w:cs="Calibri"/>
          <w:bCs w:val="0"/>
          <w:color w:val="000000"/>
          <w:lang w:eastAsia="fr-FR"/>
        </w:rPr>
        <w:t xml:space="preserve"> : </w:t>
      </w:r>
      <w:r w:rsidR="0056000A" w:rsidRPr="00304259">
        <w:rPr>
          <w:rFonts w:ascii="Trebuchet MS" w:eastAsia="Times New Roman" w:hAnsi="Trebuchet MS" w:cs="Calibri"/>
          <w:bCs w:val="0"/>
          <w:color w:val="000000"/>
          <w:lang w:eastAsia="fr-FR"/>
        </w:rPr>
        <w:t>Disposition des ménages à payer au moins 100000 F pour se raccorder</w:t>
      </w:r>
      <w:bookmarkEnd w:id="234"/>
    </w:p>
    <w:tbl>
      <w:tblPr>
        <w:tblStyle w:val="ENergiemnage"/>
        <w:tblW w:w="8579" w:type="dxa"/>
        <w:tblBorders>
          <w:top w:val="double" w:sz="4" w:space="0" w:color="auto"/>
          <w:bottom w:val="double" w:sz="4" w:space="0" w:color="auto"/>
        </w:tblBorders>
        <w:tblLook w:val="04A0" w:firstRow="1" w:lastRow="0" w:firstColumn="1" w:lastColumn="0" w:noHBand="0" w:noVBand="1"/>
      </w:tblPr>
      <w:tblGrid>
        <w:gridCol w:w="6640"/>
        <w:gridCol w:w="949"/>
        <w:gridCol w:w="990"/>
      </w:tblGrid>
      <w:tr w:rsidR="0056000A" w:rsidRPr="00B20AD1" w:rsidTr="00B12BA8">
        <w:trPr>
          <w:trHeight w:val="387"/>
        </w:trPr>
        <w:tc>
          <w:tcPr>
            <w:tcW w:w="6640"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Le ménage serait-il prêt à payer au moins 100000 F pour se raccorder?</w:t>
            </w:r>
          </w:p>
        </w:tc>
        <w:tc>
          <w:tcPr>
            <w:tcW w:w="949"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Effectif</w:t>
            </w:r>
          </w:p>
        </w:tc>
        <w:tc>
          <w:tcPr>
            <w:tcW w:w="990"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Part (%)</w:t>
            </w:r>
          </w:p>
        </w:tc>
      </w:tr>
      <w:tr w:rsidR="0056000A" w:rsidRPr="00B20AD1" w:rsidTr="00B12BA8">
        <w:trPr>
          <w:trHeight w:val="300"/>
        </w:trPr>
        <w:tc>
          <w:tcPr>
            <w:tcW w:w="6640" w:type="dxa"/>
            <w:tcBorders>
              <w:top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Oui</w:t>
            </w:r>
          </w:p>
        </w:tc>
        <w:tc>
          <w:tcPr>
            <w:tcW w:w="949" w:type="dxa"/>
            <w:tcBorders>
              <w:top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537</w:t>
            </w:r>
          </w:p>
        </w:tc>
        <w:tc>
          <w:tcPr>
            <w:tcW w:w="990" w:type="dxa"/>
            <w:tcBorders>
              <w:top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63,3</w:t>
            </w:r>
          </w:p>
        </w:tc>
      </w:tr>
      <w:tr w:rsidR="0056000A" w:rsidRPr="00B20AD1" w:rsidTr="00B12BA8">
        <w:trPr>
          <w:trHeight w:val="300"/>
        </w:trPr>
        <w:tc>
          <w:tcPr>
            <w:tcW w:w="6640" w:type="dxa"/>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Non</w:t>
            </w:r>
          </w:p>
        </w:tc>
        <w:tc>
          <w:tcPr>
            <w:tcW w:w="949" w:type="dxa"/>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309</w:t>
            </w:r>
          </w:p>
        </w:tc>
        <w:tc>
          <w:tcPr>
            <w:tcW w:w="990" w:type="dxa"/>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36,4</w:t>
            </w:r>
          </w:p>
        </w:tc>
      </w:tr>
      <w:tr w:rsidR="0056000A" w:rsidRPr="00B20AD1" w:rsidTr="00B12BA8">
        <w:trPr>
          <w:trHeight w:val="300"/>
        </w:trPr>
        <w:tc>
          <w:tcPr>
            <w:tcW w:w="6640" w:type="dxa"/>
            <w:tcBorders>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Non déclaré</w:t>
            </w:r>
          </w:p>
        </w:tc>
        <w:tc>
          <w:tcPr>
            <w:tcW w:w="949" w:type="dxa"/>
            <w:tcBorders>
              <w:bottom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w:t>
            </w:r>
          </w:p>
        </w:tc>
        <w:tc>
          <w:tcPr>
            <w:tcW w:w="990" w:type="dxa"/>
            <w:tcBorders>
              <w:bottom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0,4</w:t>
            </w:r>
          </w:p>
        </w:tc>
      </w:tr>
      <w:tr w:rsidR="0056000A" w:rsidRPr="00B20AD1" w:rsidTr="00B12BA8">
        <w:trPr>
          <w:trHeight w:val="300"/>
        </w:trPr>
        <w:tc>
          <w:tcPr>
            <w:tcW w:w="6640" w:type="dxa"/>
            <w:tcBorders>
              <w:top w:val="single" w:sz="4" w:space="0" w:color="auto"/>
              <w:bottom w:val="doub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849</w:t>
            </w:r>
          </w:p>
        </w:tc>
        <w:tc>
          <w:tcPr>
            <w:tcW w:w="990" w:type="dxa"/>
            <w:tcBorders>
              <w:top w:val="single" w:sz="4" w:space="0" w:color="auto"/>
              <w:bottom w:val="doub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100,0</w:t>
            </w:r>
          </w:p>
        </w:tc>
      </w:tr>
    </w:tbl>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before="240"/>
        <w:rPr>
          <w:rFonts w:ascii="Trebuchet MS" w:hAnsi="Trebuchet MS"/>
          <w:sz w:val="24"/>
          <w:szCs w:val="24"/>
        </w:rPr>
      </w:pPr>
      <w:r>
        <w:rPr>
          <w:rFonts w:ascii="Trebuchet MS" w:hAnsi="Trebuchet MS"/>
          <w:sz w:val="24"/>
          <w:szCs w:val="24"/>
        </w:rPr>
        <w:t xml:space="preserve">Les ménages ayant exprimé leur refus de se connecter l’expliquent par le fait que le montant minimum de 100000 FCFA proposé pour le raccordement leur semble très élevé. </w:t>
      </w:r>
    </w:p>
    <w:p w:rsidR="0056000A" w:rsidRPr="00D00917" w:rsidRDefault="00304259" w:rsidP="00D00917">
      <w:pPr>
        <w:pStyle w:val="Lgende"/>
        <w:keepNext/>
        <w:spacing w:after="0"/>
        <w:rPr>
          <w:rFonts w:ascii="Trebuchet MS" w:hAnsi="Trebuchet MS"/>
          <w:szCs w:val="24"/>
        </w:rPr>
      </w:pPr>
      <w:bookmarkStart w:id="235" w:name="_Toc426359274"/>
      <w:r w:rsidRPr="00D00917">
        <w:rPr>
          <w:rFonts w:ascii="Trebuchet MS" w:hAnsi="Trebuchet MS"/>
          <w:szCs w:val="24"/>
        </w:rPr>
        <w:t xml:space="preserve">Graphique </w:t>
      </w:r>
      <w:r w:rsidR="00792500" w:rsidRPr="00D00917">
        <w:rPr>
          <w:rFonts w:ascii="Trebuchet MS" w:hAnsi="Trebuchet MS"/>
          <w:szCs w:val="24"/>
        </w:rPr>
        <w:fldChar w:fldCharType="begin"/>
      </w:r>
      <w:r w:rsidRPr="00D00917">
        <w:rPr>
          <w:rFonts w:ascii="Trebuchet MS" w:hAnsi="Trebuchet MS"/>
          <w:szCs w:val="24"/>
        </w:rPr>
        <w:instrText xml:space="preserve"> SEQ Graphique \* ARABIC </w:instrText>
      </w:r>
      <w:r w:rsidR="00792500" w:rsidRPr="00D00917">
        <w:rPr>
          <w:rFonts w:ascii="Trebuchet MS" w:hAnsi="Trebuchet MS"/>
          <w:szCs w:val="24"/>
        </w:rPr>
        <w:fldChar w:fldCharType="separate"/>
      </w:r>
      <w:r w:rsidR="00605DE4">
        <w:rPr>
          <w:rFonts w:ascii="Trebuchet MS" w:hAnsi="Trebuchet MS"/>
          <w:noProof/>
          <w:szCs w:val="24"/>
        </w:rPr>
        <w:t>20</w:t>
      </w:r>
      <w:r w:rsidR="00792500" w:rsidRPr="00D00917">
        <w:rPr>
          <w:rFonts w:ascii="Trebuchet MS" w:hAnsi="Trebuchet MS"/>
          <w:szCs w:val="24"/>
        </w:rPr>
        <w:fldChar w:fldCharType="end"/>
      </w:r>
      <w:r w:rsidRPr="00D00917">
        <w:rPr>
          <w:rFonts w:ascii="Trebuchet MS" w:hAnsi="Trebuchet MS"/>
          <w:szCs w:val="24"/>
        </w:rPr>
        <w:t xml:space="preserve"> : </w:t>
      </w:r>
      <w:r w:rsidR="0056000A" w:rsidRPr="00D00917">
        <w:rPr>
          <w:rFonts w:ascii="Trebuchet MS" w:hAnsi="Trebuchet MS"/>
          <w:szCs w:val="24"/>
        </w:rPr>
        <w:t>Raison de non-paiement d’au moins 100000 FCFA pour se raccorder</w:t>
      </w:r>
      <w:bookmarkEnd w:id="235"/>
    </w:p>
    <w:p w:rsidR="0056000A" w:rsidRPr="0072397D" w:rsidRDefault="0056000A" w:rsidP="00D00917">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8"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6000A" w:rsidRPr="0072397D" w:rsidRDefault="0056000A" w:rsidP="00D00917">
      <w:pPr>
        <w:keepNext/>
        <w:spacing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641AD1" w:rsidRDefault="0056000A" w:rsidP="0056000A">
      <w:pPr>
        <w:spacing w:before="240"/>
        <w:jc w:val="both"/>
        <w:rPr>
          <w:rFonts w:ascii="Trebuchet MS" w:hAnsi="Trebuchet MS"/>
          <w:szCs w:val="24"/>
        </w:rPr>
      </w:pPr>
      <w:r>
        <w:rPr>
          <w:rFonts w:ascii="Trebuchet MS" w:hAnsi="Trebuchet MS"/>
          <w:szCs w:val="24"/>
        </w:rPr>
        <w:t xml:space="preserve">Le graphique ci-dessous traduit la volonté à payer des ménages non connectés et installés dans des zones non électrifiées, pour leur consommation mensuelle d’électricité. Il s’agit </w:t>
      </w:r>
      <w:r w:rsidRPr="00641AD1">
        <w:rPr>
          <w:rFonts w:ascii="Trebuchet MS" w:hAnsi="Trebuchet MS"/>
          <w:szCs w:val="24"/>
        </w:rPr>
        <w:t xml:space="preserve">en effet du montant moyen que les ménages sont disposés à payer pour leur facture mensuelle d’électricité, une fois raccordés au réseau. </w:t>
      </w:r>
    </w:p>
    <w:p w:rsidR="0056000A" w:rsidRPr="00641AD1" w:rsidRDefault="0056000A" w:rsidP="0056000A">
      <w:pPr>
        <w:jc w:val="both"/>
        <w:rPr>
          <w:rFonts w:ascii="Trebuchet MS" w:hAnsi="Trebuchet MS"/>
          <w:szCs w:val="24"/>
        </w:rPr>
      </w:pPr>
      <w:r w:rsidRPr="00641AD1">
        <w:rPr>
          <w:rFonts w:ascii="Trebuchet MS" w:hAnsi="Trebuchet MS"/>
          <w:szCs w:val="24"/>
        </w:rPr>
        <w:t xml:space="preserve">Il montre qu’en moyenne les ménages sont prêts à payer 10335 FCFA par mois pour leur consommation d’électricité soit environ 5% de plus que la moyenne de la dernière facture des ménages connectés. Les ménages vivant dans des zones non électrifiées en milieu urbain sont disposés à payer 1,3 fois plus cher que ceux du milieu rural. </w:t>
      </w:r>
    </w:p>
    <w:p w:rsidR="0056000A" w:rsidRPr="00622E94" w:rsidRDefault="0056000A" w:rsidP="0056000A">
      <w:pPr>
        <w:jc w:val="both"/>
        <w:rPr>
          <w:rFonts w:ascii="Trebuchet MS" w:hAnsi="Trebuchet MS"/>
          <w:szCs w:val="24"/>
        </w:rPr>
      </w:pPr>
      <w:r w:rsidRPr="00641AD1">
        <w:rPr>
          <w:rFonts w:ascii="Trebuchet MS" w:hAnsi="Trebuchet MS"/>
          <w:szCs w:val="24"/>
        </w:rPr>
        <w:t>Les ménages</w:t>
      </w:r>
      <w:r>
        <w:rPr>
          <w:rFonts w:ascii="Trebuchet MS" w:hAnsi="Trebuchet MS"/>
          <w:szCs w:val="24"/>
        </w:rPr>
        <w:t xml:space="preserve"> ont aussi eu l’occasion de se prononcer sur le montant qu’il souhaiteraient payer pour un service « parfait » d’électricité qui serait tel qu’il y aurait une alimentation 24h/24h et qu’il n’y aurait ni coupure, ni baisse de tension. La moyenne qu’ils auraient souhaité payer pour ce type de service est de 11613 FCFA ; ce qui traduit une fois de plus, la volonté qu’ont les ménages d’effectuer des dépenses supplémentaires pour disposer d’une énergie électrique de qualité.  </w:t>
      </w:r>
    </w:p>
    <w:p w:rsidR="0056000A" w:rsidRDefault="0056000A" w:rsidP="0056000A">
      <w:pPr>
        <w:spacing w:after="0" w:line="240" w:lineRule="auto"/>
        <w:rPr>
          <w:rFonts w:ascii="Trebuchet MS" w:hAnsi="Trebuchet MS"/>
          <w:b/>
          <w:sz w:val="20"/>
          <w:szCs w:val="24"/>
        </w:rPr>
      </w:pPr>
    </w:p>
    <w:p w:rsidR="0056000A" w:rsidRPr="00EE2456" w:rsidRDefault="00EE2456" w:rsidP="00EE2456">
      <w:pPr>
        <w:pStyle w:val="Lgende"/>
        <w:keepNext/>
        <w:spacing w:after="0" w:line="240" w:lineRule="auto"/>
        <w:rPr>
          <w:rFonts w:ascii="Trebuchet MS" w:hAnsi="Trebuchet MS"/>
          <w:szCs w:val="24"/>
        </w:rPr>
      </w:pPr>
      <w:bookmarkStart w:id="236" w:name="_Toc426359275"/>
      <w:r w:rsidRPr="00EE2456">
        <w:rPr>
          <w:rFonts w:ascii="Trebuchet MS" w:hAnsi="Trebuchet MS"/>
          <w:szCs w:val="24"/>
        </w:rPr>
        <w:t xml:space="preserve">Graphique </w:t>
      </w:r>
      <w:r w:rsidR="00792500" w:rsidRPr="00EE2456">
        <w:rPr>
          <w:rFonts w:ascii="Trebuchet MS" w:hAnsi="Trebuchet MS"/>
          <w:szCs w:val="24"/>
        </w:rPr>
        <w:fldChar w:fldCharType="begin"/>
      </w:r>
      <w:r w:rsidRPr="00EE2456">
        <w:rPr>
          <w:rFonts w:ascii="Trebuchet MS" w:hAnsi="Trebuchet MS"/>
          <w:szCs w:val="24"/>
        </w:rPr>
        <w:instrText xml:space="preserve"> SEQ Graphique \* ARABIC </w:instrText>
      </w:r>
      <w:r w:rsidR="00792500" w:rsidRPr="00EE2456">
        <w:rPr>
          <w:rFonts w:ascii="Trebuchet MS" w:hAnsi="Trebuchet MS"/>
          <w:szCs w:val="24"/>
        </w:rPr>
        <w:fldChar w:fldCharType="separate"/>
      </w:r>
      <w:r w:rsidR="00605DE4">
        <w:rPr>
          <w:rFonts w:ascii="Trebuchet MS" w:hAnsi="Trebuchet MS"/>
          <w:noProof/>
          <w:szCs w:val="24"/>
        </w:rPr>
        <w:t>21</w:t>
      </w:r>
      <w:r w:rsidR="00792500" w:rsidRPr="00EE2456">
        <w:rPr>
          <w:rFonts w:ascii="Trebuchet MS" w:hAnsi="Trebuchet MS"/>
          <w:szCs w:val="24"/>
        </w:rPr>
        <w:fldChar w:fldCharType="end"/>
      </w:r>
      <w:r w:rsidRPr="00EE2456">
        <w:rPr>
          <w:rFonts w:ascii="Trebuchet MS" w:hAnsi="Trebuchet MS"/>
          <w:szCs w:val="24"/>
        </w:rPr>
        <w:t xml:space="preserve"> : </w:t>
      </w:r>
      <w:r w:rsidR="0056000A" w:rsidRPr="00EE2456">
        <w:rPr>
          <w:rFonts w:ascii="Trebuchet MS" w:hAnsi="Trebuchet MS"/>
          <w:szCs w:val="24"/>
        </w:rPr>
        <w:t>Volonté à payer des ménages non connectés et installés dans des zones non électrifiées</w:t>
      </w:r>
      <w:bookmarkEnd w:id="236"/>
    </w:p>
    <w:p w:rsidR="0056000A" w:rsidRPr="0072397D" w:rsidRDefault="0056000A" w:rsidP="00EE2456">
      <w:pPr>
        <w:keepNext/>
        <w:spacing w:after="0"/>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9" name="Graphique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6000A" w:rsidRDefault="0056000A" w:rsidP="00EE2456">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632FD9" w:rsidP="00632FD9">
      <w:pPr>
        <w:pStyle w:val="Titre3"/>
        <w:numPr>
          <w:ilvl w:val="0"/>
          <w:numId w:val="0"/>
        </w:numPr>
        <w:ind w:left="720" w:hanging="720"/>
      </w:pPr>
      <w:bookmarkStart w:id="237" w:name="_Toc426359407"/>
      <w:bookmarkStart w:id="238" w:name="_Toc426359477"/>
      <w:r>
        <w:t>4</w:t>
      </w:r>
      <w:r w:rsidR="0056000A" w:rsidRPr="0072397D">
        <w:t>.2. Source de financement</w:t>
      </w:r>
      <w:bookmarkEnd w:id="237"/>
      <w:bookmarkEnd w:id="238"/>
    </w:p>
    <w:p w:rsidR="0056000A" w:rsidRDefault="0056000A" w:rsidP="0056000A">
      <w:pPr>
        <w:spacing w:before="240"/>
        <w:jc w:val="both"/>
        <w:rPr>
          <w:rFonts w:ascii="Trebuchet MS" w:hAnsi="Trebuchet MS"/>
        </w:rPr>
      </w:pPr>
      <w:r>
        <w:rPr>
          <w:rFonts w:ascii="Trebuchet MS" w:hAnsi="Trebuchet MS"/>
        </w:rPr>
        <w:t xml:space="preserve">Pour financer leurs dépenses de raccordement au réseau électrique de la SBEE, les ménages comptent s’appuyer essentiellement sur deux sources. Il s’agit d’une part de leur épargne personnelle mobilisé par le biais des tontines par exemple et d’autre part, à partir de la vente d’un actif. Ces deux sources de financement représentent environ 65% des sources identifiées. Il faut signaler que de nombreux ménages comptent se baser sur leur salaire ou sur le revenu de leurs activités (vente des produits de la récolte, de l’or, du poisson, réalisation d’activités de soutien à l’agriculture (labour de champs par exemple), conduite de taxi-moto, etc.) pour financer leur raccordement au réseau. Les prêts à effectuer auprès d’un proche ou auprès des institutions financières ont également été identifiés parmi les sources de financement. </w:t>
      </w:r>
    </w:p>
    <w:p w:rsidR="0056000A" w:rsidRDefault="0056000A" w:rsidP="0056000A">
      <w:pPr>
        <w:spacing w:before="240"/>
        <w:jc w:val="both"/>
        <w:rPr>
          <w:rFonts w:ascii="Trebuchet MS" w:hAnsi="Trebuchet MS"/>
        </w:rPr>
      </w:pPr>
      <w:r>
        <w:rPr>
          <w:rFonts w:ascii="Trebuchet MS" w:hAnsi="Trebuchet MS"/>
        </w:rPr>
        <w:t xml:space="preserve">En outre, les ménages ont envisagé de recourir à des financements communautaires pour le raccordement au réseau. Il s’agit ici de mettre à contribution tous les ménages du village dans la mobilisation des ressources nécessaires pour le raccordement. </w:t>
      </w:r>
    </w:p>
    <w:p w:rsidR="0056000A" w:rsidRPr="009778FA" w:rsidRDefault="009778FA" w:rsidP="00A16EF5">
      <w:pPr>
        <w:pStyle w:val="Lgende"/>
        <w:keepNext/>
        <w:spacing w:after="0" w:line="240" w:lineRule="auto"/>
        <w:rPr>
          <w:rFonts w:ascii="Trebuchet MS" w:eastAsia="Times New Roman" w:hAnsi="Trebuchet MS" w:cs="Calibri"/>
          <w:color w:val="000000"/>
          <w:lang w:eastAsia="fr-FR"/>
        </w:rPr>
      </w:pPr>
      <w:bookmarkStart w:id="239" w:name="_Toc426359369"/>
      <w:r w:rsidRPr="009778FA">
        <w:rPr>
          <w:rFonts w:ascii="Trebuchet MS" w:eastAsia="Times New Roman" w:hAnsi="Trebuchet MS" w:cs="Calibri"/>
          <w:color w:val="000000"/>
          <w:lang w:eastAsia="fr-FR"/>
        </w:rPr>
        <w:t xml:space="preserve">Tableau </w:t>
      </w:r>
      <w:r w:rsidR="00792500" w:rsidRPr="009778FA">
        <w:rPr>
          <w:rFonts w:ascii="Trebuchet MS" w:eastAsia="Times New Roman" w:hAnsi="Trebuchet MS" w:cs="Calibri"/>
          <w:color w:val="000000"/>
          <w:lang w:eastAsia="fr-FR"/>
        </w:rPr>
        <w:fldChar w:fldCharType="begin"/>
      </w:r>
      <w:r w:rsidRPr="009778FA">
        <w:rPr>
          <w:rFonts w:ascii="Trebuchet MS" w:eastAsia="Times New Roman" w:hAnsi="Trebuchet MS" w:cs="Calibri"/>
          <w:color w:val="000000"/>
          <w:lang w:eastAsia="fr-FR"/>
        </w:rPr>
        <w:instrText xml:space="preserve"> SEQ Tableau \* ARABIC </w:instrText>
      </w:r>
      <w:r w:rsidR="00792500" w:rsidRPr="009778FA">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50</w:t>
      </w:r>
      <w:r w:rsidR="00792500" w:rsidRPr="009778FA">
        <w:rPr>
          <w:rFonts w:ascii="Trebuchet MS" w:eastAsia="Times New Roman" w:hAnsi="Trebuchet MS" w:cs="Calibri"/>
          <w:color w:val="000000"/>
          <w:lang w:eastAsia="fr-FR"/>
        </w:rPr>
        <w:fldChar w:fldCharType="end"/>
      </w:r>
      <w:r w:rsidRPr="009778FA">
        <w:rPr>
          <w:rFonts w:ascii="Trebuchet MS" w:eastAsia="Times New Roman" w:hAnsi="Trebuchet MS" w:cs="Calibri"/>
          <w:color w:val="000000"/>
          <w:lang w:eastAsia="fr-FR"/>
        </w:rPr>
        <w:t xml:space="preserve"> : </w:t>
      </w:r>
      <w:r w:rsidR="0056000A" w:rsidRPr="009778FA">
        <w:rPr>
          <w:rFonts w:ascii="Trebuchet MS" w:eastAsia="Times New Roman" w:hAnsi="Trebuchet MS" w:cs="Calibri"/>
          <w:color w:val="000000"/>
          <w:lang w:eastAsia="fr-FR"/>
        </w:rPr>
        <w:t>Principale source de financement du ménage pour se raccorder</w:t>
      </w:r>
      <w:bookmarkEnd w:id="239"/>
    </w:p>
    <w:tbl>
      <w:tblPr>
        <w:tblStyle w:val="ENergiemnage"/>
        <w:tblW w:w="3088" w:type="pct"/>
        <w:tblBorders>
          <w:top w:val="double" w:sz="4" w:space="0" w:color="auto"/>
          <w:bottom w:val="double" w:sz="4" w:space="0" w:color="auto"/>
        </w:tblBorders>
        <w:tblLook w:val="04A0" w:firstRow="1" w:lastRow="0" w:firstColumn="1" w:lastColumn="0" w:noHBand="0" w:noVBand="1"/>
      </w:tblPr>
      <w:tblGrid>
        <w:gridCol w:w="3236"/>
        <w:gridCol w:w="1233"/>
        <w:gridCol w:w="1266"/>
      </w:tblGrid>
      <w:tr w:rsidR="0056000A" w:rsidRPr="00CA5826" w:rsidTr="00B12BA8">
        <w:trPr>
          <w:trHeight w:val="261"/>
        </w:trPr>
        <w:tc>
          <w:tcPr>
            <w:tcW w:w="2821" w:type="pct"/>
            <w:tcBorders>
              <w:top w:val="double" w:sz="4" w:space="0" w:color="auto"/>
              <w:bottom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Libellés de la source</w:t>
            </w:r>
          </w:p>
        </w:tc>
        <w:tc>
          <w:tcPr>
            <w:tcW w:w="1075" w:type="pct"/>
            <w:tcBorders>
              <w:top w:val="double" w:sz="4" w:space="0" w:color="auto"/>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Effectif</w:t>
            </w:r>
          </w:p>
        </w:tc>
        <w:tc>
          <w:tcPr>
            <w:tcW w:w="1104" w:type="pct"/>
            <w:tcBorders>
              <w:top w:val="double" w:sz="4" w:space="0" w:color="auto"/>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Part (%)</w:t>
            </w:r>
          </w:p>
        </w:tc>
      </w:tr>
      <w:tr w:rsidR="0056000A" w:rsidRPr="00CA5826" w:rsidTr="00B12BA8">
        <w:trPr>
          <w:trHeight w:val="261"/>
        </w:trPr>
        <w:tc>
          <w:tcPr>
            <w:tcW w:w="2821" w:type="pct"/>
            <w:tcBorders>
              <w:top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Crédit bancaire</w:t>
            </w:r>
          </w:p>
        </w:tc>
        <w:tc>
          <w:tcPr>
            <w:tcW w:w="1075" w:type="pct"/>
            <w:tcBorders>
              <w:top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4</w:t>
            </w:r>
          </w:p>
        </w:tc>
        <w:tc>
          <w:tcPr>
            <w:tcW w:w="1104" w:type="pct"/>
            <w:tcBorders>
              <w:top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0,7</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Epargne/Tontine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185</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34,5</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Salaire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27</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5,0</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Prêt auprès d’un proche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34</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6,3</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Vente d’un actif</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162</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30,2</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Autre (à préciser)</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121</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22,5</w:t>
            </w:r>
          </w:p>
        </w:tc>
      </w:tr>
      <w:tr w:rsidR="0056000A" w:rsidRPr="00CA5826" w:rsidTr="00B12BA8">
        <w:trPr>
          <w:trHeight w:val="261"/>
        </w:trPr>
        <w:tc>
          <w:tcPr>
            <w:tcW w:w="2821" w:type="pct"/>
            <w:tcBorders>
              <w:bottom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Non déclaré</w:t>
            </w:r>
          </w:p>
        </w:tc>
        <w:tc>
          <w:tcPr>
            <w:tcW w:w="1075" w:type="pct"/>
            <w:tcBorders>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4</w:t>
            </w:r>
          </w:p>
        </w:tc>
        <w:tc>
          <w:tcPr>
            <w:tcW w:w="1104" w:type="pct"/>
            <w:tcBorders>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0,7</w:t>
            </w:r>
          </w:p>
        </w:tc>
      </w:tr>
      <w:tr w:rsidR="0056000A" w:rsidRPr="00CA5826" w:rsidTr="00B12BA8">
        <w:trPr>
          <w:trHeight w:val="261"/>
        </w:trPr>
        <w:tc>
          <w:tcPr>
            <w:tcW w:w="2821" w:type="pct"/>
            <w:tcBorders>
              <w:top w:val="single" w:sz="4" w:space="0" w:color="auto"/>
              <w:bottom w:val="doub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1075" w:type="pct"/>
            <w:tcBorders>
              <w:top w:val="single" w:sz="4" w:space="0" w:color="auto"/>
              <w:bottom w:val="doub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537</w:t>
            </w:r>
          </w:p>
        </w:tc>
        <w:tc>
          <w:tcPr>
            <w:tcW w:w="1104" w:type="pct"/>
            <w:tcBorders>
              <w:top w:val="single" w:sz="4" w:space="0" w:color="auto"/>
              <w:bottom w:val="doub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100,0</w:t>
            </w:r>
          </w:p>
        </w:tc>
      </w:tr>
    </w:tbl>
    <w:p w:rsidR="0056000A" w:rsidRPr="0072397D"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56000A" w:rsidP="0056000A">
      <w:pPr>
        <w:spacing w:after="0" w:line="240" w:lineRule="auto"/>
        <w:rPr>
          <w:rFonts w:ascii="Trebuchet MS" w:hAnsi="Trebuchet MS"/>
          <w:sz w:val="24"/>
          <w:szCs w:val="24"/>
        </w:rPr>
      </w:pPr>
    </w:p>
    <w:p w:rsidR="0056000A" w:rsidRPr="0072397D" w:rsidRDefault="00632FD9" w:rsidP="00632FD9">
      <w:pPr>
        <w:pStyle w:val="Titre3"/>
        <w:numPr>
          <w:ilvl w:val="0"/>
          <w:numId w:val="0"/>
        </w:numPr>
        <w:ind w:left="720" w:hanging="720"/>
      </w:pPr>
      <w:bookmarkStart w:id="240" w:name="_Toc426359408"/>
      <w:bookmarkStart w:id="241" w:name="_Toc426359478"/>
      <w:r>
        <w:t>4</w:t>
      </w:r>
      <w:r w:rsidR="0056000A" w:rsidRPr="0072397D">
        <w:t>.3. Propension des ménages à payer d’avantage pour une meilleure qualité de service</w:t>
      </w:r>
      <w:bookmarkEnd w:id="240"/>
      <w:bookmarkEnd w:id="241"/>
    </w:p>
    <w:p w:rsidR="0056000A" w:rsidRPr="0072397D" w:rsidRDefault="00632FD9" w:rsidP="00F03E08">
      <w:pPr>
        <w:pStyle w:val="Titre4"/>
      </w:pPr>
      <w:bookmarkStart w:id="242" w:name="_Toc426359479"/>
      <w:r>
        <w:t>4</w:t>
      </w:r>
      <w:r w:rsidR="0056000A" w:rsidRPr="0072397D">
        <w:t>.3.1. Ménages non connectés au réseau</w:t>
      </w:r>
      <w:bookmarkEnd w:id="242"/>
    </w:p>
    <w:p w:rsidR="0056000A" w:rsidRPr="00EE6866" w:rsidRDefault="0056000A" w:rsidP="0056000A">
      <w:pPr>
        <w:spacing w:before="240"/>
        <w:jc w:val="both"/>
        <w:rPr>
          <w:rFonts w:ascii="Trebuchet MS" w:hAnsi="Trebuchet MS"/>
          <w:szCs w:val="24"/>
        </w:rPr>
      </w:pPr>
      <w:r w:rsidRPr="00EE6866">
        <w:rPr>
          <w:rFonts w:ascii="Trebuchet MS" w:hAnsi="Trebuchet MS"/>
          <w:szCs w:val="24"/>
        </w:rPr>
        <w:t xml:space="preserve">A la </w:t>
      </w:r>
      <w:r w:rsidRPr="00641AD1">
        <w:rPr>
          <w:rFonts w:ascii="Trebuchet MS" w:hAnsi="Trebuchet MS"/>
          <w:szCs w:val="24"/>
        </w:rPr>
        <w:t>différence du graphique ci-dessus, qui traite des montants que sont disposés à payer, seuls les ménages installés dans des</w:t>
      </w:r>
      <w:r w:rsidRPr="00EE6866">
        <w:rPr>
          <w:rFonts w:ascii="Trebuchet MS" w:hAnsi="Trebuchet MS"/>
          <w:szCs w:val="24"/>
        </w:rPr>
        <w:t xml:space="preserve"> zones non électrifiées, le graphique ci-dessous traite du montant que sont disposés à payer l’ensemble des ménages non connectés pour leur consommation mensuelle d’un « service parfait ». On entend ici par « service parfait », un service de fourniture d’électricité qui est tel que l’alimentation soit continue 24h/24h et qu’il n’y ait donc pas de coupure ni de baisse de tension. </w:t>
      </w:r>
    </w:p>
    <w:p w:rsidR="0056000A" w:rsidRPr="00EE6866" w:rsidRDefault="0056000A" w:rsidP="0056000A">
      <w:pPr>
        <w:spacing w:before="240"/>
        <w:jc w:val="both"/>
        <w:rPr>
          <w:rFonts w:ascii="Trebuchet MS" w:hAnsi="Trebuchet MS"/>
          <w:szCs w:val="24"/>
        </w:rPr>
      </w:pPr>
      <w:r w:rsidRPr="00EE6866">
        <w:rPr>
          <w:rFonts w:ascii="Trebuchet MS" w:hAnsi="Trebuchet MS"/>
          <w:szCs w:val="24"/>
        </w:rPr>
        <w:t>Les ménages sont prêts à payer dans l’ensemble, en moyenne 7781 FCFA par mois pour leur consommation avec des disparités en faveur du milieu de résidence et du sexe du chef de ménage. On note également une tendence des ménages à player davantage au fur et à mesure que le revenu du ménage est élevé.</w:t>
      </w:r>
    </w:p>
    <w:p w:rsidR="0056000A" w:rsidRPr="009778FA" w:rsidRDefault="009778FA" w:rsidP="00A16EF5">
      <w:pPr>
        <w:pStyle w:val="Lgende"/>
        <w:keepNext/>
        <w:spacing w:after="0" w:line="240" w:lineRule="auto"/>
        <w:jc w:val="both"/>
        <w:rPr>
          <w:rFonts w:ascii="Trebuchet MS" w:hAnsi="Trebuchet MS"/>
          <w:szCs w:val="24"/>
        </w:rPr>
      </w:pPr>
      <w:bookmarkStart w:id="243" w:name="_Toc426359276"/>
      <w:r w:rsidRPr="009778FA">
        <w:rPr>
          <w:rFonts w:ascii="Trebuchet MS" w:hAnsi="Trebuchet MS"/>
          <w:szCs w:val="24"/>
        </w:rPr>
        <w:t xml:space="preserve">Graphique </w:t>
      </w:r>
      <w:r w:rsidR="00792500" w:rsidRPr="009778FA">
        <w:rPr>
          <w:rFonts w:ascii="Trebuchet MS" w:hAnsi="Trebuchet MS"/>
          <w:szCs w:val="24"/>
        </w:rPr>
        <w:fldChar w:fldCharType="begin"/>
      </w:r>
      <w:r w:rsidRPr="009778FA">
        <w:rPr>
          <w:rFonts w:ascii="Trebuchet MS" w:hAnsi="Trebuchet MS"/>
          <w:szCs w:val="24"/>
        </w:rPr>
        <w:instrText xml:space="preserve"> SEQ Graphique \* ARABIC </w:instrText>
      </w:r>
      <w:r w:rsidR="00792500" w:rsidRPr="009778FA">
        <w:rPr>
          <w:rFonts w:ascii="Trebuchet MS" w:hAnsi="Trebuchet MS"/>
          <w:szCs w:val="24"/>
        </w:rPr>
        <w:fldChar w:fldCharType="separate"/>
      </w:r>
      <w:r w:rsidR="00605DE4">
        <w:rPr>
          <w:rFonts w:ascii="Trebuchet MS" w:hAnsi="Trebuchet MS"/>
          <w:noProof/>
          <w:szCs w:val="24"/>
        </w:rPr>
        <w:t>22</w:t>
      </w:r>
      <w:r w:rsidR="00792500" w:rsidRPr="009778FA">
        <w:rPr>
          <w:rFonts w:ascii="Trebuchet MS" w:hAnsi="Trebuchet MS"/>
          <w:szCs w:val="24"/>
        </w:rPr>
        <w:fldChar w:fldCharType="end"/>
      </w:r>
      <w:r w:rsidRPr="009778FA">
        <w:rPr>
          <w:rFonts w:ascii="Trebuchet MS" w:hAnsi="Trebuchet MS"/>
          <w:szCs w:val="24"/>
        </w:rPr>
        <w:t xml:space="preserve"> : </w:t>
      </w:r>
      <w:r w:rsidR="0056000A" w:rsidRPr="009778FA">
        <w:rPr>
          <w:rFonts w:ascii="Trebuchet MS" w:hAnsi="Trebuchet MS"/>
          <w:szCs w:val="24"/>
        </w:rPr>
        <w:t>Volonté à payer de l’ensemble des ménages non connectés pour leur consommation mensuelle d’électricité</w:t>
      </w:r>
      <w:bookmarkEnd w:id="243"/>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0" t="0" r="19050" b="19050"/>
            <wp:docPr id="29" name="Graphique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6000A" w:rsidRPr="0072397D"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632FD9" w:rsidRDefault="00632FD9" w:rsidP="0056000A">
      <w:pPr>
        <w:spacing w:after="0" w:line="240" w:lineRule="auto"/>
        <w:rPr>
          <w:rFonts w:ascii="Trebuchet MS" w:hAnsi="Trebuchet MS"/>
          <w:sz w:val="24"/>
          <w:szCs w:val="24"/>
        </w:rPr>
      </w:pPr>
    </w:p>
    <w:p w:rsidR="0056000A" w:rsidRDefault="00632FD9" w:rsidP="00F03E08">
      <w:pPr>
        <w:pStyle w:val="Titre4"/>
      </w:pPr>
      <w:bookmarkStart w:id="244" w:name="_Toc426359480"/>
      <w:r>
        <w:t>4</w:t>
      </w:r>
      <w:r w:rsidR="0056000A" w:rsidRPr="0072397D">
        <w:t>.3.2. Ménages connectés au réseau électrique de la SBEE</w:t>
      </w:r>
      <w:bookmarkEnd w:id="244"/>
    </w:p>
    <w:p w:rsidR="0056000A" w:rsidRPr="00632FD9" w:rsidRDefault="00632FD9" w:rsidP="00632FD9">
      <w:pPr>
        <w:pStyle w:val="Titre5"/>
        <w:spacing w:before="0"/>
      </w:pPr>
      <w:bookmarkStart w:id="245" w:name="_Toc426359481"/>
      <w:r w:rsidRPr="00632FD9">
        <w:t>4</w:t>
      </w:r>
      <w:r w:rsidR="0056000A" w:rsidRPr="00632FD9">
        <w:t>.3.2.1. Connaissance du prix du KWh par les ménages</w:t>
      </w:r>
      <w:bookmarkEnd w:id="245"/>
    </w:p>
    <w:p w:rsidR="0056000A" w:rsidRPr="00AD14F1" w:rsidRDefault="0056000A" w:rsidP="0056000A">
      <w:pPr>
        <w:spacing w:before="240"/>
        <w:jc w:val="both"/>
        <w:rPr>
          <w:rFonts w:ascii="Trebuchet MS" w:hAnsi="Trebuchet MS"/>
        </w:rPr>
      </w:pPr>
      <w:r w:rsidRPr="00AD14F1">
        <w:rPr>
          <w:rFonts w:ascii="Trebuchet MS" w:hAnsi="Trebuchet MS"/>
        </w:rPr>
        <w:t>Comme l’indique le titre, cette section présente la situation des ménages raccordés au réseau électrique de la SBEE. Elle vise à mieux cerner les comportements des usagers déjà connectés et à évaluer des efforts que ces derniers sont disposés à effectuer pour bénéficier d’une meilleure qualité de service de la SBEE.</w:t>
      </w:r>
    </w:p>
    <w:p w:rsidR="0056000A" w:rsidRDefault="0056000A" w:rsidP="0056000A">
      <w:pPr>
        <w:spacing w:before="240"/>
        <w:jc w:val="both"/>
        <w:rPr>
          <w:rFonts w:ascii="Trebuchet MS" w:hAnsi="Trebuchet MS"/>
        </w:rPr>
      </w:pPr>
      <w:r>
        <w:rPr>
          <w:rFonts w:ascii="Trebuchet MS" w:hAnsi="Trebuchet MS"/>
        </w:rPr>
        <w:t xml:space="preserve">L’une des principales caractéristiques que l’on pourrait retenir des ménages connectés est leur méconnaissance du prix auquel ils achètent le KWh. En effet, seuls 18,6% des ménages connectés savent le prix auquel ils achètent le KWh. Ce résultat pourrait contribuer à expliquer la contestation par les usagers des factures reçues de la SBEE, estimant qu’elles sont surestimées par rapport à leur consommation. </w:t>
      </w:r>
    </w:p>
    <w:p w:rsidR="0056000A" w:rsidRPr="00A16EF5" w:rsidRDefault="00A16EF5" w:rsidP="00A16EF5">
      <w:pPr>
        <w:pStyle w:val="Lgende"/>
        <w:keepNext/>
        <w:spacing w:after="0" w:line="240" w:lineRule="auto"/>
        <w:rPr>
          <w:rFonts w:ascii="Trebuchet MS" w:hAnsi="Trebuchet MS"/>
          <w:szCs w:val="24"/>
        </w:rPr>
      </w:pPr>
      <w:bookmarkStart w:id="246" w:name="_Toc426359370"/>
      <w:r w:rsidRPr="00A16EF5">
        <w:rPr>
          <w:rFonts w:ascii="Trebuchet MS" w:hAnsi="Trebuchet MS"/>
          <w:szCs w:val="24"/>
        </w:rPr>
        <w:t xml:space="preserve">Tableau </w:t>
      </w:r>
      <w:r w:rsidR="00792500" w:rsidRPr="00A16EF5">
        <w:rPr>
          <w:rFonts w:ascii="Trebuchet MS" w:hAnsi="Trebuchet MS"/>
          <w:szCs w:val="24"/>
        </w:rPr>
        <w:fldChar w:fldCharType="begin"/>
      </w:r>
      <w:r w:rsidRPr="00A16EF5">
        <w:rPr>
          <w:rFonts w:ascii="Trebuchet MS" w:hAnsi="Trebuchet MS"/>
          <w:szCs w:val="24"/>
        </w:rPr>
        <w:instrText xml:space="preserve"> SEQ Tableau \* ARABIC </w:instrText>
      </w:r>
      <w:r w:rsidR="00792500" w:rsidRPr="00A16EF5">
        <w:rPr>
          <w:rFonts w:ascii="Trebuchet MS" w:hAnsi="Trebuchet MS"/>
          <w:szCs w:val="24"/>
        </w:rPr>
        <w:fldChar w:fldCharType="separate"/>
      </w:r>
      <w:r w:rsidR="00556962">
        <w:rPr>
          <w:rFonts w:ascii="Trebuchet MS" w:hAnsi="Trebuchet MS"/>
          <w:noProof/>
          <w:szCs w:val="24"/>
        </w:rPr>
        <w:t>51</w:t>
      </w:r>
      <w:r w:rsidR="00792500" w:rsidRPr="00A16EF5">
        <w:rPr>
          <w:rFonts w:ascii="Trebuchet MS" w:hAnsi="Trebuchet MS"/>
          <w:szCs w:val="24"/>
        </w:rPr>
        <w:fldChar w:fldCharType="end"/>
      </w:r>
      <w:r w:rsidRPr="00A16EF5">
        <w:rPr>
          <w:rFonts w:ascii="Trebuchet MS" w:hAnsi="Trebuchet MS"/>
          <w:szCs w:val="24"/>
        </w:rPr>
        <w:t xml:space="preserve"> : </w:t>
      </w:r>
      <w:r w:rsidR="0056000A" w:rsidRPr="00A16EF5">
        <w:rPr>
          <w:rFonts w:ascii="Trebuchet MS" w:hAnsi="Trebuchet MS"/>
          <w:szCs w:val="24"/>
        </w:rPr>
        <w:t>Répartition des ménages connectés selon qu’ils connaissent ou pas le prix du KWh</w:t>
      </w:r>
      <w:bookmarkEnd w:id="246"/>
    </w:p>
    <w:tbl>
      <w:tblPr>
        <w:tblStyle w:val="ENergiemnage"/>
        <w:tblW w:w="6130" w:type="dxa"/>
        <w:tblBorders>
          <w:top w:val="double" w:sz="4" w:space="0" w:color="auto"/>
          <w:bottom w:val="double" w:sz="4" w:space="0" w:color="auto"/>
        </w:tblBorders>
        <w:tblLook w:val="04A0" w:firstRow="1" w:lastRow="0" w:firstColumn="1" w:lastColumn="0" w:noHBand="0" w:noVBand="1"/>
      </w:tblPr>
      <w:tblGrid>
        <w:gridCol w:w="4269"/>
        <w:gridCol w:w="917"/>
        <w:gridCol w:w="944"/>
      </w:tblGrid>
      <w:tr w:rsidR="0056000A" w:rsidRPr="0072397D" w:rsidTr="00B12BA8">
        <w:trPr>
          <w:trHeight w:val="237"/>
        </w:trPr>
        <w:tc>
          <w:tcPr>
            <w:tcW w:w="4269" w:type="dxa"/>
            <w:tcBorders>
              <w:top w:val="double" w:sz="4" w:space="0" w:color="auto"/>
              <w:bottom w:val="single" w:sz="4" w:space="0" w:color="auto"/>
            </w:tcBorders>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Connaissance du prix du KWh par le ménage</w:t>
            </w:r>
          </w:p>
        </w:tc>
        <w:tc>
          <w:tcPr>
            <w:tcW w:w="917" w:type="dxa"/>
            <w:tcBorders>
              <w:top w:val="double" w:sz="4" w:space="0" w:color="auto"/>
              <w:bottom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Effectif</w:t>
            </w:r>
          </w:p>
        </w:tc>
        <w:tc>
          <w:tcPr>
            <w:tcW w:w="944" w:type="dxa"/>
            <w:tcBorders>
              <w:top w:val="double" w:sz="4" w:space="0" w:color="auto"/>
              <w:bottom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 (%)</w:t>
            </w:r>
          </w:p>
        </w:tc>
      </w:tr>
      <w:tr w:rsidR="0056000A" w:rsidRPr="0072397D" w:rsidTr="00B12BA8">
        <w:trPr>
          <w:trHeight w:val="119"/>
        </w:trPr>
        <w:tc>
          <w:tcPr>
            <w:tcW w:w="4269" w:type="dxa"/>
            <w:tcBorders>
              <w:top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Oui</w:t>
            </w:r>
          </w:p>
        </w:tc>
        <w:tc>
          <w:tcPr>
            <w:tcW w:w="917" w:type="dxa"/>
            <w:tcBorders>
              <w:top w:val="single" w:sz="4" w:space="0" w:color="auto"/>
            </w:tcBorders>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246</w:t>
            </w:r>
          </w:p>
        </w:tc>
        <w:tc>
          <w:tcPr>
            <w:tcW w:w="944" w:type="dxa"/>
            <w:tcBorders>
              <w:top w:val="single" w:sz="4" w:space="0" w:color="auto"/>
            </w:tcBorders>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18,6</w:t>
            </w:r>
          </w:p>
        </w:tc>
      </w:tr>
      <w:tr w:rsidR="0056000A" w:rsidRPr="0072397D" w:rsidTr="00B12BA8">
        <w:trPr>
          <w:trHeight w:val="255"/>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1028</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77,6</w:t>
            </w:r>
          </w:p>
        </w:tc>
      </w:tr>
      <w:tr w:rsidR="0056000A" w:rsidRPr="0072397D" w:rsidTr="00B12BA8">
        <w:trPr>
          <w:trHeight w:val="119"/>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51</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3,8</w:t>
            </w:r>
          </w:p>
        </w:tc>
      </w:tr>
      <w:tr w:rsidR="0056000A" w:rsidRPr="0072397D" w:rsidTr="00B12BA8">
        <w:trPr>
          <w:trHeight w:val="79"/>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56000A" w:rsidRPr="0072397D" w:rsidRDefault="0056000A" w:rsidP="00A16EF5">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rPr>
      </w:pPr>
      <w:r>
        <w:rPr>
          <w:rFonts w:ascii="Trebuchet MS" w:hAnsi="Trebuchet MS"/>
        </w:rPr>
        <w:t xml:space="preserve">Il est indispensable de mieux sensibiliser les usagers afin que ces derniers aient une meilleure connaissance du mode de facturation. Certes, le SBEE a mis en place un dispositif pour informer ses clients sur le calcul des montants des factures des ménages ; mais des efforts restent à faire. Il s’agira d’améliorer la transparence dans la facturation en mettant en œuvre de nouveaux mécanismes adaptés à chaque catégorie de client afin de mieux les sensibiliser. </w:t>
      </w:r>
    </w:p>
    <w:p w:rsidR="0056000A" w:rsidRPr="0023008F" w:rsidRDefault="0056000A" w:rsidP="0056000A">
      <w:pPr>
        <w:spacing w:before="240"/>
        <w:jc w:val="both"/>
        <w:rPr>
          <w:rFonts w:ascii="Trebuchet MS" w:hAnsi="Trebuchet MS"/>
        </w:rPr>
      </w:pPr>
      <w:r>
        <w:rPr>
          <w:rFonts w:ascii="Trebuchet MS" w:hAnsi="Trebuchet MS"/>
        </w:rPr>
        <w:t>L’une des cibles à sensibiliser en priorité pourrait être les chefs de ménages âgés d’au moins 50 ans. En effet, comme le montre le graphique ci-dessous, la proportion des ménages connaissant le prix auquel ils achètent le KWh tend à la baisse lorsque l’âge du CM augmente. Ce résultat est en cohérence avec le désintérêt noté chez les chefs de ménage âgés, lorsqu’il s’agit de se raccorder au réseau électrique.</w:t>
      </w:r>
    </w:p>
    <w:p w:rsidR="0056000A" w:rsidRPr="00A16EF5" w:rsidRDefault="00A16EF5" w:rsidP="00A16EF5">
      <w:pPr>
        <w:pStyle w:val="Lgende"/>
        <w:keepNext/>
        <w:spacing w:after="0" w:line="240" w:lineRule="auto"/>
        <w:rPr>
          <w:rFonts w:ascii="Trebuchet MS" w:hAnsi="Trebuchet MS"/>
        </w:rPr>
      </w:pPr>
      <w:bookmarkStart w:id="247" w:name="_Toc426359277"/>
      <w:r w:rsidRPr="00A16EF5">
        <w:rPr>
          <w:rFonts w:ascii="Trebuchet MS" w:hAnsi="Trebuchet MS"/>
        </w:rPr>
        <w:t xml:space="preserve">Graphique </w:t>
      </w:r>
      <w:r w:rsidR="00792500" w:rsidRPr="00A16EF5">
        <w:rPr>
          <w:rFonts w:ascii="Trebuchet MS" w:hAnsi="Trebuchet MS"/>
        </w:rPr>
        <w:fldChar w:fldCharType="begin"/>
      </w:r>
      <w:r w:rsidRPr="00A16EF5">
        <w:rPr>
          <w:rFonts w:ascii="Trebuchet MS" w:hAnsi="Trebuchet MS"/>
        </w:rPr>
        <w:instrText xml:space="preserve"> SEQ Graphique \* ARABIC </w:instrText>
      </w:r>
      <w:r w:rsidR="00792500" w:rsidRPr="00A16EF5">
        <w:rPr>
          <w:rFonts w:ascii="Trebuchet MS" w:hAnsi="Trebuchet MS"/>
        </w:rPr>
        <w:fldChar w:fldCharType="separate"/>
      </w:r>
      <w:r w:rsidR="00605DE4">
        <w:rPr>
          <w:rFonts w:ascii="Trebuchet MS" w:hAnsi="Trebuchet MS"/>
          <w:noProof/>
        </w:rPr>
        <w:t>23</w:t>
      </w:r>
      <w:r w:rsidR="00792500"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l’âge du CM</w:t>
      </w:r>
      <w:bookmarkEnd w:id="247"/>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0" t="0" r="19050" b="19050"/>
            <wp:docPr id="25" name="Graphique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6000A"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sz w:val="24"/>
          <w:szCs w:val="24"/>
        </w:rPr>
      </w:pPr>
      <w:r w:rsidRPr="00FA2667">
        <w:rPr>
          <w:rFonts w:ascii="Trebuchet MS" w:hAnsi="Trebuchet MS"/>
          <w:szCs w:val="24"/>
        </w:rPr>
        <w:t xml:space="preserve">Une autre couche d’abonnés à sensibiliser en priorité est celle des ménages dirigés par des personnes de faible niveau d’instruction. En effet, plus le niveau d’instruction du CM est élevé, plus ce dernier a tendance à connaitre le prix auquel il achète le KWh. Il apparait donc opportun d’élaborer et de mettre en œuvre une stratégie efficace de sensibilisation non seulement sur la facturation, mais également sur les conseils à suivre pour faire de l’efficacité énergétique une réalité. </w:t>
      </w:r>
    </w:p>
    <w:p w:rsidR="0056000A" w:rsidRPr="00A16EF5" w:rsidRDefault="00A16EF5" w:rsidP="00A16EF5">
      <w:pPr>
        <w:pStyle w:val="Lgende"/>
        <w:keepNext/>
        <w:spacing w:after="0" w:line="240" w:lineRule="auto"/>
        <w:rPr>
          <w:rFonts w:ascii="Trebuchet MS" w:hAnsi="Trebuchet MS"/>
        </w:rPr>
      </w:pPr>
      <w:bookmarkStart w:id="248" w:name="_Toc426359278"/>
      <w:r w:rsidRPr="00A16EF5">
        <w:rPr>
          <w:rFonts w:ascii="Trebuchet MS" w:hAnsi="Trebuchet MS"/>
        </w:rPr>
        <w:t xml:space="preserve">Graphique </w:t>
      </w:r>
      <w:r w:rsidR="00792500" w:rsidRPr="00A16EF5">
        <w:rPr>
          <w:rFonts w:ascii="Trebuchet MS" w:hAnsi="Trebuchet MS"/>
        </w:rPr>
        <w:fldChar w:fldCharType="begin"/>
      </w:r>
      <w:r w:rsidRPr="00A16EF5">
        <w:rPr>
          <w:rFonts w:ascii="Trebuchet MS" w:hAnsi="Trebuchet MS"/>
        </w:rPr>
        <w:instrText xml:space="preserve"> SEQ Graphique \* ARABIC </w:instrText>
      </w:r>
      <w:r w:rsidR="00792500" w:rsidRPr="00A16EF5">
        <w:rPr>
          <w:rFonts w:ascii="Trebuchet MS" w:hAnsi="Trebuchet MS"/>
        </w:rPr>
        <w:fldChar w:fldCharType="separate"/>
      </w:r>
      <w:r w:rsidR="00605DE4">
        <w:rPr>
          <w:rFonts w:ascii="Trebuchet MS" w:hAnsi="Trebuchet MS"/>
          <w:noProof/>
        </w:rPr>
        <w:t>24</w:t>
      </w:r>
      <w:r w:rsidR="00792500"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le niveau d’instruction du CM</w:t>
      </w:r>
      <w:bookmarkEnd w:id="248"/>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0" t="0" r="19050" b="19050"/>
            <wp:docPr id="26" name="Graphique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6000A"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lang w:eastAsia="fr-FR"/>
        </w:rPr>
      </w:pPr>
      <w:r>
        <w:rPr>
          <w:rFonts w:ascii="Trebuchet MS" w:hAnsi="Trebuchet MS"/>
          <w:lang w:eastAsia="fr-FR"/>
        </w:rPr>
        <w:t xml:space="preserve">Lorsqu’on analyse la question suivant le sexe du chef de ménage et le milieu de résidence, on note également quelques disparités. Même si les proportions restent relativement faibles, on constate que les ménages dirigés par des hommes ont tendance à être plus informés du prix du KWh que les ménages ayant à leur tête des femmes (20,2% contre 12,5%). De même, par rapport au milieu rural, les ménages s’informent plus sur le prix du KWh en milieu urbain. </w:t>
      </w:r>
    </w:p>
    <w:p w:rsidR="0056000A" w:rsidRDefault="0056000A" w:rsidP="0056000A">
      <w:pPr>
        <w:jc w:val="both"/>
        <w:rPr>
          <w:rFonts w:ascii="Trebuchet MS" w:hAnsi="Trebuchet MS"/>
          <w:lang w:eastAsia="fr-FR"/>
        </w:rPr>
      </w:pPr>
      <w:r>
        <w:rPr>
          <w:rFonts w:ascii="Trebuchet MS" w:hAnsi="Trebuchet MS"/>
          <w:lang w:eastAsia="fr-FR"/>
        </w:rPr>
        <w:t xml:space="preserve">En définitive, ces résultats permettent de se faire une idée de la typologie des ménages qui connaitraient ou pas le prix du KWh. Par exemple, En se basant sur certaines caractéristiques, on pourrait identifier les ménages dont les chances de connaitre le prix du KWh sont minimes. Par exemple, un ménage dirigé par une femme âgée d’au moins 50 ans et n’ayant aucun niveau d’instruction et vivant en milieu rural a moins de chance de connaitre le prix auquel il achète le KWh qu’un ménage du milieu urbain ayant à sa tête un homme âgé de 30 à 39 ans et ayant effectué des études supérieures.  </w:t>
      </w:r>
    </w:p>
    <w:p w:rsidR="0056000A" w:rsidRPr="00A16EF5" w:rsidRDefault="00A16EF5" w:rsidP="00A16EF5">
      <w:pPr>
        <w:pStyle w:val="Lgende"/>
        <w:keepNext/>
        <w:spacing w:after="0"/>
        <w:rPr>
          <w:rFonts w:ascii="Trebuchet MS" w:hAnsi="Trebuchet MS"/>
        </w:rPr>
      </w:pPr>
      <w:bookmarkStart w:id="249" w:name="_Toc426359279"/>
      <w:r w:rsidRPr="00A16EF5">
        <w:rPr>
          <w:rFonts w:ascii="Trebuchet MS" w:hAnsi="Trebuchet MS"/>
        </w:rPr>
        <w:t xml:space="preserve">Graphique </w:t>
      </w:r>
      <w:r w:rsidR="00792500" w:rsidRPr="00A16EF5">
        <w:rPr>
          <w:rFonts w:ascii="Trebuchet MS" w:hAnsi="Trebuchet MS"/>
        </w:rPr>
        <w:fldChar w:fldCharType="begin"/>
      </w:r>
      <w:r w:rsidRPr="00A16EF5">
        <w:rPr>
          <w:rFonts w:ascii="Trebuchet MS" w:hAnsi="Trebuchet MS"/>
        </w:rPr>
        <w:instrText xml:space="preserve"> SEQ Graphique \* ARABIC </w:instrText>
      </w:r>
      <w:r w:rsidR="00792500" w:rsidRPr="00A16EF5">
        <w:rPr>
          <w:rFonts w:ascii="Trebuchet MS" w:hAnsi="Trebuchet MS"/>
        </w:rPr>
        <w:fldChar w:fldCharType="separate"/>
      </w:r>
      <w:r w:rsidR="00605DE4">
        <w:rPr>
          <w:rFonts w:ascii="Trebuchet MS" w:hAnsi="Trebuchet MS"/>
          <w:noProof/>
        </w:rPr>
        <w:t>25</w:t>
      </w:r>
      <w:r w:rsidR="00792500"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le sexe du CM et le milieu de résidence</w:t>
      </w:r>
      <w:bookmarkEnd w:id="249"/>
    </w:p>
    <w:p w:rsidR="0056000A" w:rsidRDefault="0056000A" w:rsidP="00A16EF5">
      <w:pPr>
        <w:keepNext/>
        <w:spacing w:after="0"/>
        <w:rPr>
          <w:rFonts w:ascii="Trebuchet MS" w:hAnsi="Trebuchet MS"/>
          <w:lang w:eastAsia="fr-FR"/>
        </w:rPr>
      </w:pPr>
      <w:r>
        <w:rPr>
          <w:noProof/>
          <w:lang w:eastAsia="fr-FR"/>
        </w:rPr>
        <w:drawing>
          <wp:inline distT="0" distB="0" distL="0" distR="0">
            <wp:extent cx="4572000" cy="2743200"/>
            <wp:effectExtent l="0" t="0" r="19050" b="19050"/>
            <wp:docPr id="27" name="Graphique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56000A" w:rsidRPr="00816780" w:rsidRDefault="00A16EF5" w:rsidP="00A16EF5">
      <w:pPr>
        <w:keepNext/>
        <w:rPr>
          <w:rFonts w:ascii="Trebuchet MS" w:hAnsi="Trebuchet MS"/>
          <w:lang w:val="en-US" w:eastAsia="fr-FR"/>
        </w:rPr>
      </w:pPr>
      <w:r w:rsidRPr="00816780">
        <w:rPr>
          <w:rFonts w:ascii="Trebuchet MS" w:hAnsi="Trebuchet MS"/>
          <w:b/>
          <w:sz w:val="20"/>
          <w:szCs w:val="24"/>
          <w:u w:val="single"/>
          <w:lang w:val="en-US"/>
        </w:rPr>
        <w:t>Source</w:t>
      </w:r>
      <w:r w:rsidRPr="00816780">
        <w:rPr>
          <w:rFonts w:ascii="Trebuchet MS" w:hAnsi="Trebuchet MS"/>
          <w:b/>
          <w:sz w:val="20"/>
          <w:szCs w:val="24"/>
          <w:lang w:val="en-US"/>
        </w:rPr>
        <w:t>:</w:t>
      </w:r>
      <w:r w:rsidR="0056000A" w:rsidRPr="00816780">
        <w:rPr>
          <w:rFonts w:ascii="Trebuchet MS" w:hAnsi="Trebuchet MS"/>
          <w:b/>
          <w:sz w:val="20"/>
          <w:szCs w:val="24"/>
          <w:lang w:val="en-US"/>
        </w:rPr>
        <w:t xml:space="preserve"> ECEB, INSAE, 2015</w:t>
      </w:r>
    </w:p>
    <w:p w:rsidR="0056000A" w:rsidRPr="00816780" w:rsidRDefault="0056000A" w:rsidP="0056000A">
      <w:pPr>
        <w:rPr>
          <w:rFonts w:ascii="Trebuchet MS" w:hAnsi="Trebuchet MS"/>
          <w:lang w:val="en-US" w:eastAsia="fr-FR"/>
        </w:rPr>
      </w:pPr>
    </w:p>
    <w:p w:rsidR="0056000A" w:rsidRPr="00816780" w:rsidRDefault="00F60828" w:rsidP="00F60828">
      <w:pPr>
        <w:pStyle w:val="Titre5"/>
        <w:rPr>
          <w:lang w:val="en-US" w:eastAsia="fr-FR"/>
        </w:rPr>
      </w:pPr>
      <w:bookmarkStart w:id="250" w:name="_Toc426359482"/>
      <w:r>
        <w:rPr>
          <w:lang w:val="en-US"/>
        </w:rPr>
        <w:t>4</w:t>
      </w:r>
      <w:r w:rsidR="0056000A" w:rsidRPr="00816780">
        <w:rPr>
          <w:lang w:val="en-US"/>
        </w:rPr>
        <w:t>.3.2.2. Prix « Willingness To Pay (WTP) » des ménages</w:t>
      </w:r>
      <w:bookmarkEnd w:id="250"/>
    </w:p>
    <w:p w:rsidR="0056000A" w:rsidRDefault="0056000A" w:rsidP="0056000A">
      <w:pPr>
        <w:jc w:val="both"/>
        <w:rPr>
          <w:rFonts w:ascii="Trebuchet MS" w:hAnsi="Trebuchet MS"/>
          <w:lang w:eastAsia="fr-FR"/>
        </w:rPr>
      </w:pPr>
      <w:r>
        <w:rPr>
          <w:rFonts w:ascii="Trebuchet MS" w:hAnsi="Trebuchet MS"/>
          <w:lang w:eastAsia="fr-FR"/>
        </w:rPr>
        <w:t xml:space="preserve">Comme mentionné au début de ce chapitre, un message d’information et d’avertissement a été adressé à chaque ménage pendant les interviews afin de les sensibiliser sur la nécessité pour eux de communiquer des informations qui reflètent leur niveau de vie réel. Les prix moyens présentés dans le graphique ci-dessous, sont calculés sur la base des déclarations des ménages qui ont affirmé connaitre leur prix d’achat du KWh. </w:t>
      </w:r>
    </w:p>
    <w:p w:rsidR="0056000A" w:rsidRDefault="0056000A" w:rsidP="0056000A">
      <w:pPr>
        <w:jc w:val="both"/>
        <w:rPr>
          <w:rFonts w:ascii="Trebuchet MS" w:hAnsi="Trebuchet MS"/>
          <w:lang w:eastAsia="fr-FR"/>
        </w:rPr>
      </w:pPr>
      <w:r>
        <w:rPr>
          <w:rFonts w:ascii="Trebuchet MS" w:hAnsi="Trebuchet MS"/>
          <w:lang w:eastAsia="fr-FR"/>
        </w:rPr>
        <w:t xml:space="preserve">Le prix WTP désigne le prix maximum qu’un ménage est disposé à payer pour bénéficier de la meilleure qualité possible d’électricité. Qualifiée plus haut de « service parfait », cette qualité est telle que l’électricité serait disponible pendant 24 heures dans une journée et qu’il n’y aurait donc pas de coupures d’électricité ni de baisse de tension. Mais avant de passer au prix WTP des ménages, il est indispensable de se faire une idée des prix que paient actuellement les ménages par KWh. </w:t>
      </w:r>
    </w:p>
    <w:p w:rsidR="0056000A" w:rsidRDefault="0056000A" w:rsidP="0056000A">
      <w:pPr>
        <w:jc w:val="both"/>
        <w:rPr>
          <w:rFonts w:ascii="Trebuchet MS" w:hAnsi="Trebuchet MS"/>
          <w:lang w:eastAsia="fr-FR"/>
        </w:rPr>
      </w:pPr>
      <w:r>
        <w:rPr>
          <w:rFonts w:ascii="Trebuchet MS" w:hAnsi="Trebuchet MS"/>
          <w:lang w:eastAsia="fr-FR"/>
        </w:rPr>
        <w:t xml:space="preserve">Le graphique ci-dessous indique qu’en moyenne les ménages paient 144 FCFA pour chaque KWh consommé avec des disparités suivant le type de connexion. Les prix pratiqués sur le marché secondaire sont de loin (1,7 fois) supérieurs à ceux de la SBEE. En conséquence, les ménages raccordés aux « toiles d’araignée », ont déclaré des prix WTP inférieurs aux prix qu’ils paient habituellement (166 FCFA contre 194 FCFA), tirant ainsi le prix WTP de l’ensemble des ménages vers le bas. Ceci sous-entend que pour les abonnés « toile d’araignée » ont proposé leur prix WTP en se référant à un prix fictif qu’ils devraient selon eux payer par KWh et qui est inférieur au montant moyen de 166 FCFA proposé. </w:t>
      </w:r>
    </w:p>
    <w:p w:rsidR="0056000A" w:rsidRDefault="0056000A" w:rsidP="0056000A">
      <w:pPr>
        <w:jc w:val="both"/>
        <w:rPr>
          <w:rFonts w:ascii="Trebuchet MS" w:hAnsi="Trebuchet MS"/>
          <w:lang w:eastAsia="fr-FR"/>
        </w:rPr>
      </w:pPr>
      <w:r>
        <w:rPr>
          <w:rFonts w:ascii="Trebuchet MS" w:hAnsi="Trebuchet MS"/>
          <w:lang w:eastAsia="fr-FR"/>
        </w:rPr>
        <w:t xml:space="preserve">Une autre leçon tirée du graphique est la suivante : bien qu’ayant proposé un prix WTP inférieur au prix habituellement payé, les abonnés « toiles d’araignée » ont fait en moyenne une proposition de prix WTP supérieure à celle des abonnés à la ligne directe (166 FCFA contre 127 FCFA). </w:t>
      </w:r>
    </w:p>
    <w:p w:rsidR="0056000A" w:rsidRDefault="0056000A" w:rsidP="0056000A">
      <w:pPr>
        <w:jc w:val="both"/>
        <w:rPr>
          <w:rFonts w:ascii="Trebuchet MS" w:hAnsi="Trebuchet MS"/>
          <w:lang w:eastAsia="fr-FR"/>
        </w:rPr>
      </w:pPr>
      <w:r>
        <w:rPr>
          <w:rFonts w:ascii="Trebuchet MS" w:hAnsi="Trebuchet MS"/>
          <w:lang w:eastAsia="fr-FR"/>
        </w:rPr>
        <w:t xml:space="preserve">Les ménages ont exprimé à travers les prix WTP déclarés, leur volonté à payer pour une meilleure qualitéd’énergie électrique. A partir des prix WTP déclarés par les ménages, un troisième prix a été estimé. Ce prix a pour but d’évaluer la capacité réelle des ménages à payer pour l’électricité. Il a été déterminé en retenant pour chaque ménage, le prix maximum parmi les prix déclarés par KWh. Ainsi, pour les ménages ayant déclaré un prix WTP inférieur au prix habituellement payé, l’on retient le prix habituellement payer comme la capacité maximale du ménage à payer. Bien entendu, la limite de ce prix réside dans le fait que les ménages qui paient des prix élevés par KWh (cas des « toiles d’araignée ») consomment une quantité relativement faible d’énergie. Par conséquent, il pourrait s’avérer insoutenable pour eux de continuer par payer le même prix pour des quantités consommées plus élevées. </w:t>
      </w:r>
    </w:p>
    <w:p w:rsidR="0056000A" w:rsidRDefault="0056000A" w:rsidP="0056000A">
      <w:pPr>
        <w:jc w:val="both"/>
        <w:rPr>
          <w:rFonts w:ascii="Trebuchet MS" w:hAnsi="Trebuchet MS"/>
          <w:lang w:eastAsia="fr-FR"/>
        </w:rPr>
      </w:pPr>
      <w:r>
        <w:rPr>
          <w:rFonts w:ascii="Trebuchet MS" w:hAnsi="Trebuchet MS"/>
          <w:lang w:eastAsia="fr-FR"/>
        </w:rPr>
        <w:t xml:space="preserve">Le graphique montre que les ménages seraient en mesure de payer en moyenne 160 FCFA avec des disparités selon que le ménage soit directement raccordé (135 FCFA) ou qu’il soit sur la ligne sous-traitée (202 FCFA). </w:t>
      </w:r>
    </w:p>
    <w:p w:rsidR="0056000A" w:rsidRPr="00BB6827" w:rsidRDefault="00BB6827" w:rsidP="00BB6827">
      <w:pPr>
        <w:pStyle w:val="Lgende"/>
        <w:keepNext/>
        <w:spacing w:after="0"/>
        <w:rPr>
          <w:rFonts w:ascii="Trebuchet MS" w:hAnsi="Trebuchet MS"/>
          <w:lang w:eastAsia="fr-FR"/>
        </w:rPr>
      </w:pPr>
      <w:bookmarkStart w:id="251" w:name="_Toc426359280"/>
      <w:r w:rsidRPr="00BB6827">
        <w:rPr>
          <w:rFonts w:ascii="Trebuchet MS" w:hAnsi="Trebuchet MS"/>
          <w:lang w:eastAsia="fr-FR"/>
        </w:rPr>
        <w:t xml:space="preserve">Graphique </w:t>
      </w:r>
      <w:r w:rsidR="00792500" w:rsidRPr="00BB6827">
        <w:rPr>
          <w:rFonts w:ascii="Trebuchet MS" w:hAnsi="Trebuchet MS"/>
          <w:lang w:eastAsia="fr-FR"/>
        </w:rPr>
        <w:fldChar w:fldCharType="begin"/>
      </w:r>
      <w:r w:rsidRPr="00BB6827">
        <w:rPr>
          <w:rFonts w:ascii="Trebuchet MS" w:hAnsi="Trebuchet MS"/>
          <w:lang w:eastAsia="fr-FR"/>
        </w:rPr>
        <w:instrText xml:space="preserve"> SEQ Graphique \* ARABIC </w:instrText>
      </w:r>
      <w:r w:rsidR="00792500" w:rsidRPr="00BB6827">
        <w:rPr>
          <w:rFonts w:ascii="Trebuchet MS" w:hAnsi="Trebuchet MS"/>
          <w:lang w:eastAsia="fr-FR"/>
        </w:rPr>
        <w:fldChar w:fldCharType="separate"/>
      </w:r>
      <w:r w:rsidR="00605DE4">
        <w:rPr>
          <w:rFonts w:ascii="Trebuchet MS" w:hAnsi="Trebuchet MS"/>
          <w:noProof/>
          <w:lang w:eastAsia="fr-FR"/>
        </w:rPr>
        <w:t>26</w:t>
      </w:r>
      <w:r w:rsidR="00792500" w:rsidRPr="00BB6827">
        <w:rPr>
          <w:rFonts w:ascii="Trebuchet MS" w:hAnsi="Trebuchet MS"/>
          <w:lang w:eastAsia="fr-FR"/>
        </w:rPr>
        <w:fldChar w:fldCharType="end"/>
      </w:r>
      <w:r w:rsidRPr="00BB6827">
        <w:rPr>
          <w:rFonts w:ascii="Trebuchet MS" w:hAnsi="Trebuchet MS"/>
          <w:lang w:eastAsia="fr-FR"/>
        </w:rPr>
        <w:t xml:space="preserve"> : </w:t>
      </w:r>
      <w:r w:rsidR="0056000A" w:rsidRPr="00BB6827">
        <w:rPr>
          <w:rFonts w:ascii="Trebuchet MS" w:hAnsi="Trebuchet MS"/>
          <w:lang w:eastAsia="fr-FR"/>
        </w:rPr>
        <w:t>Prix du KWh que paient ou que souhaiteraient payer les ménages</w:t>
      </w:r>
      <w:bookmarkEnd w:id="251"/>
    </w:p>
    <w:p w:rsidR="0056000A" w:rsidRPr="0072397D" w:rsidRDefault="0056000A" w:rsidP="00BB6827">
      <w:pPr>
        <w:keepNext/>
        <w:spacing w:after="0"/>
        <w:rPr>
          <w:rFonts w:ascii="Trebuchet MS" w:hAnsi="Trebuchet MS"/>
          <w:lang w:eastAsia="fr-FR"/>
        </w:rPr>
      </w:pPr>
      <w:r w:rsidRPr="0072397D">
        <w:rPr>
          <w:rFonts w:ascii="Trebuchet MS" w:hAnsi="Trebuchet MS"/>
          <w:noProof/>
          <w:lang w:eastAsia="fr-FR"/>
        </w:rPr>
        <w:drawing>
          <wp:inline distT="0" distB="0" distL="0" distR="0">
            <wp:extent cx="5486400" cy="2905125"/>
            <wp:effectExtent l="19050" t="0" r="19050" b="0"/>
            <wp:docPr id="11"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56000A" w:rsidRPr="0072397D" w:rsidRDefault="0056000A" w:rsidP="00BB6827">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041A6C">
      <w:pPr>
        <w:jc w:val="both"/>
        <w:rPr>
          <w:rFonts w:ascii="Trebuchet MS" w:hAnsi="Trebuchet MS"/>
          <w:lang w:eastAsia="fr-FR"/>
        </w:rPr>
      </w:pPr>
      <w:r>
        <w:rPr>
          <w:rFonts w:ascii="Trebuchet MS" w:hAnsi="Trebuchet MS"/>
          <w:lang w:eastAsia="fr-FR"/>
        </w:rPr>
        <w:t>La première condition pour laquelle les ménages déjà connectés seraient disposés à payer davantage est que l’électricité soit disponible 24h/24h et que l’approvisionnement soit régulier et qu’il n’y ait plus de coupures. .</w:t>
      </w:r>
    </w:p>
    <w:p w:rsidR="0056000A" w:rsidRDefault="0056000A" w:rsidP="0056000A">
      <w:pPr>
        <w:rPr>
          <w:rFonts w:ascii="Trebuchet MS" w:hAnsi="Trebuchet MS"/>
          <w:lang w:eastAsia="fr-FR"/>
        </w:rPr>
      </w:pPr>
    </w:p>
    <w:p w:rsidR="0056000A" w:rsidRDefault="0057022D" w:rsidP="0057022D">
      <w:pPr>
        <w:pStyle w:val="Titre5"/>
        <w:rPr>
          <w:lang w:eastAsia="fr-FR"/>
        </w:rPr>
      </w:pPr>
      <w:bookmarkStart w:id="252" w:name="_Toc426359483"/>
      <w:r>
        <w:t>4</w:t>
      </w:r>
      <w:r w:rsidR="0056000A" w:rsidRPr="0072397D">
        <w:t>.3.2.</w:t>
      </w:r>
      <w:r w:rsidR="0056000A">
        <w:t>3.Sensibilité des ménages vis-à-vis des coupures d’électricité, des baisses de tension et de l’énergie solaire</w:t>
      </w:r>
      <w:bookmarkEnd w:id="252"/>
    </w:p>
    <w:p w:rsidR="0056000A" w:rsidRDefault="0056000A" w:rsidP="0056000A">
      <w:pPr>
        <w:jc w:val="both"/>
        <w:rPr>
          <w:rFonts w:ascii="Trebuchet MS" w:hAnsi="Trebuchet MS"/>
          <w:lang w:eastAsia="fr-FR"/>
        </w:rPr>
      </w:pPr>
      <w:r>
        <w:rPr>
          <w:rFonts w:ascii="Trebuchet MS" w:hAnsi="Trebuchet MS"/>
          <w:lang w:eastAsia="fr-FR"/>
        </w:rPr>
        <w:t xml:space="preserve">Cette section vise à mesurer la portée des coupures d’électricité et des baisses de tension pour les ménages. Il s’agit également ici de capter l’engouement des ménages pour l’énergie solaire. </w:t>
      </w:r>
    </w:p>
    <w:p w:rsidR="0056000A" w:rsidRDefault="0056000A" w:rsidP="0056000A">
      <w:pPr>
        <w:jc w:val="both"/>
        <w:rPr>
          <w:rFonts w:ascii="Trebuchet MS" w:hAnsi="Trebuchet MS"/>
          <w:lang w:eastAsia="fr-FR"/>
        </w:rPr>
      </w:pPr>
      <w:r>
        <w:rPr>
          <w:rFonts w:ascii="Trebuchet MS" w:hAnsi="Trebuchet MS"/>
          <w:lang w:eastAsia="fr-FR"/>
        </w:rPr>
        <w:t xml:space="preserve">A cet effet, il a été demandé aux ménages de se prononcer sur le montant qu’ils souhaiteraient payer par KWh en fonction du nombre de coupures par semaine. Le graphique ci-dessous met en relation les montants moyens déclarés par nombre hebdomadaire de coupure. Il en ressort que le prix moyen que sont disposés à payer les ménages par KWh baisse avec l’augmentation du nombre de coupures par semaine. Ceci traduit clairement l’aversion qu’ils ont pour les coupures d’électricité et confirme le fait qu’ils seraient prêts à payer davantage pour un KWh si l’énergie est disponible pendant 24h dans une journée. </w:t>
      </w:r>
    </w:p>
    <w:p w:rsidR="0056000A" w:rsidRDefault="0056000A" w:rsidP="0056000A">
      <w:pPr>
        <w:jc w:val="both"/>
        <w:rPr>
          <w:rFonts w:ascii="Trebuchet MS" w:hAnsi="Trebuchet MS"/>
          <w:lang w:eastAsia="fr-FR"/>
        </w:rPr>
      </w:pPr>
      <w:r>
        <w:rPr>
          <w:rFonts w:ascii="Trebuchet MS" w:hAnsi="Trebuchet MS"/>
          <w:lang w:eastAsia="fr-FR"/>
        </w:rPr>
        <w:t xml:space="preserve">D’après l’équation de la courbe de tendance, les ménages seraient prêts à payer 134 FCFA par KWh s’il n’y a plus aucune coupure d’électricité. </w:t>
      </w:r>
    </w:p>
    <w:p w:rsidR="0056000A" w:rsidRPr="00BB6827" w:rsidRDefault="00BB6827" w:rsidP="00A33032">
      <w:pPr>
        <w:pStyle w:val="Lgende"/>
        <w:keepNext/>
        <w:spacing w:after="0" w:line="240" w:lineRule="auto"/>
        <w:jc w:val="both"/>
        <w:rPr>
          <w:rFonts w:ascii="Trebuchet MS" w:hAnsi="Trebuchet MS"/>
          <w:lang w:eastAsia="fr-FR"/>
        </w:rPr>
      </w:pPr>
      <w:bookmarkStart w:id="253" w:name="_Toc426359281"/>
      <w:r w:rsidRPr="00BB6827">
        <w:rPr>
          <w:rFonts w:ascii="Trebuchet MS" w:hAnsi="Trebuchet MS"/>
          <w:lang w:eastAsia="fr-FR"/>
        </w:rPr>
        <w:t xml:space="preserve">Graphique </w:t>
      </w:r>
      <w:r w:rsidR="00792500" w:rsidRPr="00BB6827">
        <w:rPr>
          <w:rFonts w:ascii="Trebuchet MS" w:hAnsi="Trebuchet MS"/>
          <w:lang w:eastAsia="fr-FR"/>
        </w:rPr>
        <w:fldChar w:fldCharType="begin"/>
      </w:r>
      <w:r w:rsidRPr="00BB6827">
        <w:rPr>
          <w:rFonts w:ascii="Trebuchet MS" w:hAnsi="Trebuchet MS"/>
          <w:lang w:eastAsia="fr-FR"/>
        </w:rPr>
        <w:instrText xml:space="preserve"> SEQ Graphique \* ARABIC </w:instrText>
      </w:r>
      <w:r w:rsidR="00792500" w:rsidRPr="00BB6827">
        <w:rPr>
          <w:rFonts w:ascii="Trebuchet MS" w:hAnsi="Trebuchet MS"/>
          <w:lang w:eastAsia="fr-FR"/>
        </w:rPr>
        <w:fldChar w:fldCharType="separate"/>
      </w:r>
      <w:r w:rsidR="00605DE4">
        <w:rPr>
          <w:rFonts w:ascii="Trebuchet MS" w:hAnsi="Trebuchet MS"/>
          <w:noProof/>
          <w:lang w:eastAsia="fr-FR"/>
        </w:rPr>
        <w:t>27</w:t>
      </w:r>
      <w:r w:rsidR="00792500" w:rsidRPr="00BB6827">
        <w:rPr>
          <w:rFonts w:ascii="Trebuchet MS" w:hAnsi="Trebuchet MS"/>
          <w:lang w:eastAsia="fr-FR"/>
        </w:rPr>
        <w:fldChar w:fldCharType="end"/>
      </w:r>
      <w:r w:rsidRPr="00BB6827">
        <w:rPr>
          <w:rFonts w:ascii="Trebuchet MS" w:hAnsi="Trebuchet MS"/>
          <w:lang w:eastAsia="fr-FR"/>
        </w:rPr>
        <w:t xml:space="preserve"> : </w:t>
      </w:r>
      <w:r w:rsidR="0056000A" w:rsidRPr="00BB6827">
        <w:rPr>
          <w:rFonts w:ascii="Trebuchet MS" w:hAnsi="Trebuchet MS"/>
          <w:lang w:eastAsia="fr-FR"/>
        </w:rPr>
        <w:t>Prix du KWh que sont disposés à payer les ménages en fonction du nombre de coupures par semaine</w:t>
      </w:r>
      <w:bookmarkEnd w:id="253"/>
    </w:p>
    <w:p w:rsidR="0056000A" w:rsidRPr="0072397D" w:rsidRDefault="0056000A" w:rsidP="00A33032">
      <w:pPr>
        <w:keepNext/>
        <w:spacing w:after="0"/>
        <w:rPr>
          <w:rFonts w:ascii="Trebuchet MS" w:hAnsi="Trebuchet MS"/>
          <w:lang w:eastAsia="fr-FR"/>
        </w:rPr>
      </w:pPr>
      <w:r>
        <w:rPr>
          <w:noProof/>
          <w:lang w:eastAsia="fr-FR"/>
        </w:rPr>
        <w:drawing>
          <wp:inline distT="0" distB="0" distL="0" distR="0">
            <wp:extent cx="4905375" cy="3124200"/>
            <wp:effectExtent l="0" t="0" r="9525" b="19050"/>
            <wp:docPr id="31" name="Graphique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56000A" w:rsidRPr="0072397D" w:rsidRDefault="0056000A" w:rsidP="00A33032">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jc w:val="both"/>
        <w:rPr>
          <w:rFonts w:ascii="Trebuchet MS" w:hAnsi="Trebuchet MS"/>
          <w:lang w:eastAsia="fr-FR"/>
        </w:rPr>
      </w:pPr>
      <w:r>
        <w:rPr>
          <w:rFonts w:ascii="Trebuchet MS" w:hAnsi="Trebuchet MS"/>
          <w:lang w:eastAsia="fr-FR"/>
        </w:rPr>
        <w:t xml:space="preserve">A l’instar des coupures d’électricité, le même exercice a été réalisé avec les baisses de tension dans les ménages. Les ménages ont donc été interrogés sur les montants qu’ils souhaiteraient payer s’ils ne devraient plus connaitre de baisse de tension ou si les baisses de tension augmentaient. Les montants déclarés sont mis en relation avec la situation des baisses de tension dans les ménages comme le montre le graphique ci-dessous. L’allure des courbes du graphique montre que les ménages ne sont pas favorables aux baisses de tension. </w:t>
      </w:r>
    </w:p>
    <w:p w:rsidR="0056000A" w:rsidRDefault="0056000A" w:rsidP="0056000A">
      <w:pPr>
        <w:rPr>
          <w:rFonts w:ascii="Trebuchet MS" w:hAnsi="Trebuchet MS"/>
          <w:lang w:eastAsia="fr-FR"/>
        </w:rPr>
      </w:pPr>
    </w:p>
    <w:p w:rsidR="0056000A" w:rsidRPr="00A33032" w:rsidRDefault="00A33032" w:rsidP="00A33032">
      <w:pPr>
        <w:pStyle w:val="Lgende"/>
        <w:keepNext/>
        <w:spacing w:after="0" w:line="240" w:lineRule="auto"/>
        <w:rPr>
          <w:rFonts w:ascii="Trebuchet MS" w:hAnsi="Trebuchet MS"/>
          <w:lang w:eastAsia="fr-FR"/>
        </w:rPr>
      </w:pPr>
      <w:bookmarkStart w:id="254" w:name="_Toc426359282"/>
      <w:r w:rsidRPr="00A33032">
        <w:rPr>
          <w:rFonts w:ascii="Trebuchet MS" w:hAnsi="Trebuchet MS"/>
          <w:lang w:eastAsia="fr-FR"/>
        </w:rPr>
        <w:t xml:space="preserve">Graphique </w:t>
      </w:r>
      <w:r w:rsidR="00792500" w:rsidRPr="00A33032">
        <w:rPr>
          <w:rFonts w:ascii="Trebuchet MS" w:hAnsi="Trebuchet MS"/>
          <w:lang w:eastAsia="fr-FR"/>
        </w:rPr>
        <w:fldChar w:fldCharType="begin"/>
      </w:r>
      <w:r w:rsidRPr="00A33032">
        <w:rPr>
          <w:rFonts w:ascii="Trebuchet MS" w:hAnsi="Trebuchet MS"/>
          <w:lang w:eastAsia="fr-FR"/>
        </w:rPr>
        <w:instrText xml:space="preserve"> SEQ Graphique \* ARABIC </w:instrText>
      </w:r>
      <w:r w:rsidR="00792500" w:rsidRPr="00A33032">
        <w:rPr>
          <w:rFonts w:ascii="Trebuchet MS" w:hAnsi="Trebuchet MS"/>
          <w:lang w:eastAsia="fr-FR"/>
        </w:rPr>
        <w:fldChar w:fldCharType="separate"/>
      </w:r>
      <w:r w:rsidR="00605DE4">
        <w:rPr>
          <w:rFonts w:ascii="Trebuchet MS" w:hAnsi="Trebuchet MS"/>
          <w:noProof/>
          <w:lang w:eastAsia="fr-FR"/>
        </w:rPr>
        <w:t>28</w:t>
      </w:r>
      <w:r w:rsidR="00792500" w:rsidRPr="00A33032">
        <w:rPr>
          <w:rFonts w:ascii="Trebuchet MS" w:hAnsi="Trebuchet MS"/>
          <w:lang w:eastAsia="fr-FR"/>
        </w:rPr>
        <w:fldChar w:fldCharType="end"/>
      </w:r>
      <w:r w:rsidRPr="00A33032">
        <w:rPr>
          <w:rFonts w:ascii="Trebuchet MS" w:hAnsi="Trebuchet MS"/>
          <w:lang w:eastAsia="fr-FR"/>
        </w:rPr>
        <w:t xml:space="preserve"> : </w:t>
      </w:r>
      <w:r w:rsidR="0056000A" w:rsidRPr="00A33032">
        <w:rPr>
          <w:rFonts w:ascii="Trebuchet MS" w:hAnsi="Trebuchet MS"/>
          <w:lang w:eastAsia="fr-FR"/>
        </w:rPr>
        <w:t>Prix du KWh que sont disposés à payer les ménages en fonction du nombre de coupures</w:t>
      </w:r>
      <w:bookmarkEnd w:id="254"/>
    </w:p>
    <w:p w:rsidR="0056000A" w:rsidRPr="0072397D" w:rsidRDefault="0056000A" w:rsidP="00A33032">
      <w:pPr>
        <w:keepNext/>
        <w:spacing w:after="0"/>
        <w:rPr>
          <w:rFonts w:ascii="Trebuchet MS" w:hAnsi="Trebuchet MS"/>
          <w:lang w:eastAsia="fr-FR"/>
        </w:rPr>
      </w:pPr>
      <w:r>
        <w:rPr>
          <w:noProof/>
          <w:lang w:eastAsia="fr-FR"/>
        </w:rPr>
        <w:drawing>
          <wp:inline distT="0" distB="0" distL="0" distR="0">
            <wp:extent cx="4572000" cy="2800350"/>
            <wp:effectExtent l="0" t="0" r="19050" b="19050"/>
            <wp:docPr id="33" name="Graphique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6000A" w:rsidRPr="0072397D" w:rsidRDefault="0056000A" w:rsidP="00A33032">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jc w:val="both"/>
        <w:rPr>
          <w:rFonts w:ascii="Trebuchet MS" w:hAnsi="Trebuchet MS"/>
          <w:lang w:eastAsia="fr-FR"/>
        </w:rPr>
      </w:pPr>
      <w:r>
        <w:rPr>
          <w:rFonts w:ascii="Trebuchet MS" w:hAnsi="Trebuchet MS"/>
          <w:lang w:eastAsia="fr-FR"/>
        </w:rPr>
        <w:t xml:space="preserve">La problématique du développement durable, avec pour corollaire la préservation de l’environnement, a suscité depuis quelques décennies le développement des énergies renouvelables. De nombreuses recherches sont alors menées pour promouvoir de nouvelles d’énergies qui seraient moins préjudiciables pour l’environnement. </w:t>
      </w:r>
    </w:p>
    <w:p w:rsidR="0056000A" w:rsidRDefault="0056000A" w:rsidP="0056000A">
      <w:pPr>
        <w:jc w:val="both"/>
        <w:rPr>
          <w:rFonts w:ascii="Trebuchet MS" w:hAnsi="Trebuchet MS"/>
          <w:lang w:eastAsia="fr-FR"/>
        </w:rPr>
      </w:pPr>
      <w:r>
        <w:rPr>
          <w:rFonts w:ascii="Trebuchet MS" w:hAnsi="Trebuchet MS"/>
          <w:lang w:eastAsia="fr-FR"/>
        </w:rPr>
        <w:t>L’enquête sur la consommation d’électricité au Bénin s’est également intéressée à la question en demandant aux ménages de préciser en pourcentage le montant supplémentaire qu’ils souhaiteraient payer par KWh si l’on devait passer de l’énergie hydroélectrique à l’énergie solaire.</w:t>
      </w:r>
    </w:p>
    <w:p w:rsidR="0056000A" w:rsidRPr="0072397D" w:rsidRDefault="0056000A" w:rsidP="0056000A">
      <w:pPr>
        <w:jc w:val="both"/>
        <w:rPr>
          <w:rFonts w:ascii="Trebuchet MS" w:hAnsi="Trebuchet MS"/>
          <w:lang w:eastAsia="fr-FR"/>
        </w:rPr>
      </w:pPr>
      <w:r>
        <w:rPr>
          <w:rFonts w:ascii="Trebuchet MS" w:hAnsi="Trebuchet MS"/>
          <w:lang w:eastAsia="fr-FR"/>
        </w:rPr>
        <w:t xml:space="preserve">Des résultats présentés dans le tableau ci-dessous, il ressort que les ménages déjà connectés sont tout de même disposés à fournir des efforts supplémentaires pour passer à l’énergie solaire. En effet, 42,7% d’entre eux ont exprimé la volonté de payer un peu plus que d’habitude, pour l’énergie solaire. En isolant les ménages qui souhaiteraient payer un montant supplémentaire de plus de 5%, on note que les autres souhaiteraient payer en moyenne 1,9% de plus que ce qu’ils paient d’habitude. </w:t>
      </w:r>
    </w:p>
    <w:p w:rsidR="0056000A" w:rsidRPr="00A33032" w:rsidRDefault="00A33032" w:rsidP="00A33032">
      <w:pPr>
        <w:pStyle w:val="Lgende"/>
        <w:keepNext/>
        <w:spacing w:after="0" w:line="240" w:lineRule="auto"/>
        <w:rPr>
          <w:rFonts w:ascii="Trebuchet MS" w:eastAsia="Times New Roman" w:hAnsi="Trebuchet MS" w:cs="Calibri"/>
          <w:color w:val="000000"/>
          <w:lang w:eastAsia="fr-FR"/>
        </w:rPr>
      </w:pPr>
      <w:bookmarkStart w:id="255" w:name="_Toc426359371"/>
      <w:r w:rsidRPr="00A33032">
        <w:rPr>
          <w:rFonts w:ascii="Trebuchet MS" w:eastAsia="Times New Roman" w:hAnsi="Trebuchet MS" w:cs="Calibri"/>
          <w:color w:val="000000"/>
          <w:lang w:eastAsia="fr-FR"/>
        </w:rPr>
        <w:t xml:space="preserve">Tableau </w:t>
      </w:r>
      <w:r w:rsidR="00792500" w:rsidRPr="00A33032">
        <w:rPr>
          <w:rFonts w:ascii="Trebuchet MS" w:eastAsia="Times New Roman" w:hAnsi="Trebuchet MS" w:cs="Calibri"/>
          <w:color w:val="000000"/>
          <w:lang w:eastAsia="fr-FR"/>
        </w:rPr>
        <w:fldChar w:fldCharType="begin"/>
      </w:r>
      <w:r w:rsidRPr="00A33032">
        <w:rPr>
          <w:rFonts w:ascii="Trebuchet MS" w:eastAsia="Times New Roman" w:hAnsi="Trebuchet MS" w:cs="Calibri"/>
          <w:color w:val="000000"/>
          <w:lang w:eastAsia="fr-FR"/>
        </w:rPr>
        <w:instrText xml:space="preserve"> SEQ Tableau \* ARABIC </w:instrText>
      </w:r>
      <w:r w:rsidR="00792500" w:rsidRPr="00A33032">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52</w:t>
      </w:r>
      <w:r w:rsidR="00792500" w:rsidRPr="00A33032">
        <w:rPr>
          <w:rFonts w:ascii="Trebuchet MS" w:eastAsia="Times New Roman" w:hAnsi="Trebuchet MS" w:cs="Calibri"/>
          <w:color w:val="000000"/>
          <w:lang w:eastAsia="fr-FR"/>
        </w:rPr>
        <w:fldChar w:fldCharType="end"/>
      </w:r>
      <w:r w:rsidRPr="00A33032">
        <w:rPr>
          <w:rFonts w:ascii="Trebuchet MS" w:eastAsia="Times New Roman" w:hAnsi="Trebuchet MS" w:cs="Calibri"/>
          <w:color w:val="000000"/>
          <w:lang w:eastAsia="fr-FR"/>
        </w:rPr>
        <w:t xml:space="preserve"> : </w:t>
      </w:r>
      <w:r w:rsidR="0056000A" w:rsidRPr="00A33032">
        <w:rPr>
          <w:rFonts w:ascii="Trebuchet MS" w:eastAsia="Times New Roman" w:hAnsi="Trebuchet MS" w:cs="Calibri"/>
          <w:color w:val="000000"/>
          <w:lang w:eastAsia="fr-FR"/>
        </w:rPr>
        <w:t>Pourcentage supplémentaire à payer pour passer de l’énergie hydroélectrique à l'énergie solaire</w:t>
      </w:r>
      <w:bookmarkEnd w:id="255"/>
    </w:p>
    <w:tbl>
      <w:tblPr>
        <w:tblStyle w:val="ENergiemnage"/>
        <w:tblW w:w="4786" w:type="dxa"/>
        <w:tblBorders>
          <w:top w:val="double" w:sz="4" w:space="0" w:color="auto"/>
          <w:bottom w:val="double" w:sz="4" w:space="0" w:color="auto"/>
        </w:tblBorders>
        <w:tblLook w:val="04A0" w:firstRow="1" w:lastRow="0" w:firstColumn="1" w:lastColumn="0" w:noHBand="0" w:noVBand="1"/>
      </w:tblPr>
      <w:tblGrid>
        <w:gridCol w:w="2494"/>
        <w:gridCol w:w="1004"/>
        <w:gridCol w:w="1288"/>
      </w:tblGrid>
      <w:tr w:rsidR="0056000A" w:rsidRPr="0072397D" w:rsidTr="00A33032">
        <w:trPr>
          <w:trHeight w:val="389"/>
        </w:trPr>
        <w:tc>
          <w:tcPr>
            <w:tcW w:w="2494" w:type="dxa"/>
            <w:tcBorders>
              <w:top w:val="double" w:sz="4" w:space="0" w:color="auto"/>
              <w:bottom w:val="single" w:sz="4" w:space="0" w:color="auto"/>
            </w:tcBorders>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Taux supplémentaires</w:t>
            </w:r>
          </w:p>
        </w:tc>
        <w:tc>
          <w:tcPr>
            <w:tcW w:w="1004" w:type="dxa"/>
            <w:tcBorders>
              <w:top w:val="double" w:sz="4" w:space="0" w:color="auto"/>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Effectif</w:t>
            </w:r>
          </w:p>
        </w:tc>
        <w:tc>
          <w:tcPr>
            <w:tcW w:w="1288" w:type="dxa"/>
            <w:tcBorders>
              <w:top w:val="double" w:sz="4" w:space="0" w:color="auto"/>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Part (%)</w:t>
            </w:r>
          </w:p>
        </w:tc>
      </w:tr>
      <w:tr w:rsidR="0056000A" w:rsidRPr="0072397D" w:rsidTr="00A33032">
        <w:trPr>
          <w:trHeight w:val="254"/>
        </w:trPr>
        <w:tc>
          <w:tcPr>
            <w:tcW w:w="2494" w:type="dxa"/>
            <w:tcBorders>
              <w:top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0%</w:t>
            </w:r>
          </w:p>
        </w:tc>
        <w:tc>
          <w:tcPr>
            <w:tcW w:w="1004" w:type="dxa"/>
            <w:tcBorders>
              <w:top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492</w:t>
            </w:r>
          </w:p>
        </w:tc>
        <w:tc>
          <w:tcPr>
            <w:tcW w:w="1288" w:type="dxa"/>
            <w:tcBorders>
              <w:top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37,1</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275</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20,8</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159</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12,0</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4,2</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56000A" w:rsidRPr="0072397D" w:rsidTr="00A33032">
        <w:trPr>
          <w:trHeight w:val="233"/>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31</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2,3</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Plus de 5%</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w:t>
            </w:r>
          </w:p>
        </w:tc>
      </w:tr>
      <w:tr w:rsidR="0056000A" w:rsidRPr="0072397D" w:rsidTr="00A33032">
        <w:trPr>
          <w:trHeight w:val="217"/>
        </w:trPr>
        <w:tc>
          <w:tcPr>
            <w:tcW w:w="2494" w:type="dxa"/>
            <w:tcBorders>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004" w:type="dxa"/>
            <w:tcBorders>
              <w:bottom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267</w:t>
            </w:r>
          </w:p>
        </w:tc>
        <w:tc>
          <w:tcPr>
            <w:tcW w:w="1288" w:type="dxa"/>
            <w:tcBorders>
              <w:bottom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20,2</w:t>
            </w:r>
          </w:p>
        </w:tc>
      </w:tr>
      <w:tr w:rsidR="0056000A" w:rsidRPr="0072397D" w:rsidTr="00A33032">
        <w:trPr>
          <w:trHeight w:val="254"/>
        </w:trPr>
        <w:tc>
          <w:tcPr>
            <w:tcW w:w="2494" w:type="dxa"/>
            <w:tcBorders>
              <w:top w:val="single" w:sz="4" w:space="0" w:color="auto"/>
              <w:bottom w:val="doub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004" w:type="dxa"/>
            <w:tcBorders>
              <w:top w:val="single" w:sz="4" w:space="0" w:color="auto"/>
              <w:bottom w:val="doub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88" w:type="dxa"/>
            <w:tcBorders>
              <w:top w:val="single" w:sz="4" w:space="0" w:color="auto"/>
              <w:bottom w:val="doub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613E28" w:rsidRPr="0072397D" w:rsidRDefault="0056000A" w:rsidP="00A33032">
      <w:pPr>
        <w:keepNext/>
        <w:spacing w:line="240" w:lineRule="auto"/>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290CE9" w:rsidRPr="0072397D" w:rsidRDefault="00290CE9" w:rsidP="0000151D">
      <w:pPr>
        <w:rPr>
          <w:rFonts w:ascii="Trebuchet MS" w:hAnsi="Trebuchet MS"/>
          <w:lang w:eastAsia="fr-FR"/>
        </w:rPr>
      </w:pPr>
      <w:r w:rsidRPr="0072397D">
        <w:rPr>
          <w:rFonts w:ascii="Trebuchet MS" w:hAnsi="Trebuchet MS"/>
          <w:lang w:eastAsia="fr-FR"/>
        </w:rPr>
        <w:br w:type="page"/>
      </w:r>
    </w:p>
    <w:p w:rsidR="009D2DBD" w:rsidRPr="0072397D" w:rsidRDefault="006662CA" w:rsidP="0044323F">
      <w:pPr>
        <w:pStyle w:val="Titre1"/>
      </w:pPr>
      <w:bookmarkStart w:id="256" w:name="_Toc425961652"/>
      <w:bookmarkStart w:id="257" w:name="_Toc426359409"/>
      <w:bookmarkStart w:id="258" w:name="_Toc426359484"/>
      <w:r w:rsidRPr="0072397D">
        <w:t>CONCLUSION</w:t>
      </w:r>
      <w:bookmarkEnd w:id="256"/>
      <w:bookmarkEnd w:id="257"/>
      <w:bookmarkEnd w:id="258"/>
    </w:p>
    <w:p w:rsidR="00BC1818" w:rsidRDefault="00BC1818" w:rsidP="00BC1818">
      <w:pPr>
        <w:rPr>
          <w:rFonts w:ascii="Trebuchet MS" w:hAnsi="Trebuchet MS"/>
          <w:lang w:eastAsia="fr-FR"/>
        </w:rPr>
      </w:pPr>
    </w:p>
    <w:p w:rsidR="005D78DB" w:rsidRDefault="00AE7D6E" w:rsidP="00A6689F">
      <w:pPr>
        <w:jc w:val="both"/>
        <w:rPr>
          <w:rFonts w:ascii="Trebuchet MS" w:hAnsi="Trebuchet MS"/>
          <w:lang w:eastAsia="fr-FR"/>
        </w:rPr>
      </w:pPr>
      <w:r>
        <w:rPr>
          <w:rFonts w:ascii="Trebuchet MS" w:hAnsi="Trebuchet MS"/>
          <w:lang w:eastAsia="fr-FR"/>
        </w:rPr>
        <w:t xml:space="preserve">L’Enquête sur la Consommation d’Electricité au Bénin représente une source d’informations </w:t>
      </w:r>
      <w:r w:rsidR="00234B97">
        <w:rPr>
          <w:rFonts w:ascii="Trebuchet MS" w:hAnsi="Trebuchet MS"/>
          <w:lang w:eastAsia="fr-FR"/>
        </w:rPr>
        <w:t xml:space="preserve">qui vient compléter l’ensemble des études préalablement réalisées d’une part sur les ménages et d’autre part dans le secteur de l’énergie. </w:t>
      </w:r>
      <w:r w:rsidR="00A6689F">
        <w:rPr>
          <w:rFonts w:ascii="Trebuchet MS" w:hAnsi="Trebuchet MS"/>
          <w:lang w:eastAsia="fr-FR"/>
        </w:rPr>
        <w:t>De nombreuses leçons peuvent être tirées de cette étude. Elle a permis par exemple de se faire une idée du taux de connexion des ménages au réseau électrique de la SBEE</w:t>
      </w:r>
      <w:r w:rsidR="00F9670F">
        <w:rPr>
          <w:rFonts w:ascii="Trebuchet MS" w:hAnsi="Trebuchet MS"/>
          <w:lang w:eastAsia="fr-FR"/>
        </w:rPr>
        <w:t xml:space="preserve"> (34,7%)</w:t>
      </w:r>
      <w:r w:rsidR="00A6689F">
        <w:rPr>
          <w:rFonts w:ascii="Trebuchet MS" w:hAnsi="Trebuchet MS"/>
          <w:lang w:eastAsia="fr-FR"/>
        </w:rPr>
        <w:t xml:space="preserve">. </w:t>
      </w:r>
      <w:r w:rsidR="005D78DB">
        <w:rPr>
          <w:rFonts w:ascii="Trebuchet MS" w:hAnsi="Trebuchet MS"/>
          <w:lang w:eastAsia="fr-FR"/>
        </w:rPr>
        <w:t>Certains des facteurs qui pourraient déterminer le raccordement des ménages au réseau électrique ont également été identifiés à l’issue de cette enquête (le milieu de résidence, le revenu du ménage, le niveau d’instruction, la religion et l’âge du chef de ménage).</w:t>
      </w:r>
    </w:p>
    <w:p w:rsidR="00DB5926" w:rsidRDefault="002C1E8D" w:rsidP="00A6689F">
      <w:pPr>
        <w:jc w:val="both"/>
        <w:rPr>
          <w:rFonts w:ascii="Trebuchet MS" w:hAnsi="Trebuchet MS"/>
          <w:lang w:eastAsia="fr-FR"/>
        </w:rPr>
      </w:pPr>
      <w:r>
        <w:rPr>
          <w:rFonts w:ascii="Trebuchet MS" w:hAnsi="Trebuchet MS"/>
          <w:lang w:eastAsia="fr-FR"/>
        </w:rPr>
        <w:t xml:space="preserve">De l’analyse des résultats de l’enquête, il </w:t>
      </w:r>
      <w:r w:rsidR="00203E05">
        <w:rPr>
          <w:rFonts w:ascii="Trebuchet MS" w:hAnsi="Trebuchet MS"/>
          <w:lang w:eastAsia="fr-FR"/>
        </w:rPr>
        <w:t xml:space="preserve">apparait que des défis immenses restent à relever dans le secteur de l’énergie. Le premier </w:t>
      </w:r>
      <w:r w:rsidR="00092AC3">
        <w:rPr>
          <w:rFonts w:ascii="Trebuchet MS" w:hAnsi="Trebuchet MS"/>
          <w:lang w:eastAsia="fr-FR"/>
        </w:rPr>
        <w:t xml:space="preserve">d’entre eux </w:t>
      </w:r>
      <w:r w:rsidR="00203E05">
        <w:rPr>
          <w:rFonts w:ascii="Trebuchet MS" w:hAnsi="Trebuchet MS"/>
          <w:lang w:eastAsia="fr-FR"/>
        </w:rPr>
        <w:t xml:space="preserve">est celui de </w:t>
      </w:r>
      <w:r w:rsidR="00092AC3">
        <w:rPr>
          <w:rFonts w:ascii="Trebuchet MS" w:hAnsi="Trebuchet MS"/>
          <w:lang w:eastAsia="fr-FR"/>
        </w:rPr>
        <w:t xml:space="preserve">la réduction de la dépendance du pays vis-à-vis de l’extérieur. Cela passe par l’augmentation de l’offre d’énergie d’une part et d’autre part, par l’actualisation du cadre institutionnel qui régit le fonctionnement du secteur de l’énergie. </w:t>
      </w:r>
      <w:r w:rsidR="00DB5926">
        <w:rPr>
          <w:rFonts w:ascii="Trebuchet MS" w:hAnsi="Trebuchet MS"/>
          <w:lang w:eastAsia="fr-FR"/>
        </w:rPr>
        <w:t>Un autre défi majeur à surmonter est celui de l’amélioration des services de la SBEE</w:t>
      </w:r>
      <w:r w:rsidR="00092AC3">
        <w:rPr>
          <w:rFonts w:ascii="Trebuchet MS" w:hAnsi="Trebuchet MS"/>
          <w:lang w:eastAsia="fr-FR"/>
        </w:rPr>
        <w:t xml:space="preserve">. </w:t>
      </w:r>
      <w:r w:rsidR="00DB5926">
        <w:rPr>
          <w:rFonts w:ascii="Trebuchet MS" w:hAnsi="Trebuchet MS"/>
          <w:lang w:eastAsia="fr-FR"/>
        </w:rPr>
        <w:t>Comme l’ont montré les résultats de l’enquête, les ménages attendent de meilleurs services de la SBEE. Du délai de raccordement à la prise en charge des plaintes et des pannes en passant par la facturation, des progrès notables sont attendus de la société en charge de la fourniture d’électricité.</w:t>
      </w:r>
      <w:r w:rsidR="00EB5B94">
        <w:rPr>
          <w:rFonts w:ascii="Trebuchet MS" w:hAnsi="Trebuchet MS"/>
          <w:lang w:eastAsia="fr-FR"/>
        </w:rPr>
        <w:t xml:space="preserve"> L’augmentation de l’offre d’énergie et la modernisation de ses services permettront à la SBEE d’offrir plus de conforts aux usagerse</w:t>
      </w:r>
      <w:r w:rsidR="00657E52">
        <w:rPr>
          <w:rFonts w:ascii="Trebuchet MS" w:hAnsi="Trebuchet MS"/>
          <w:lang w:eastAsia="fr-FR"/>
        </w:rPr>
        <w:t xml:space="preserve">t de </w:t>
      </w:r>
      <w:r w:rsidR="00EB5B94">
        <w:rPr>
          <w:rFonts w:ascii="Trebuchet MS" w:hAnsi="Trebuchet MS"/>
          <w:lang w:eastAsia="fr-FR"/>
        </w:rPr>
        <w:t xml:space="preserve">réduire le développement du marché secondaire de l’électricité caractérisé par la </w:t>
      </w:r>
      <w:r w:rsidR="00657E52">
        <w:rPr>
          <w:rFonts w:ascii="Trebuchet MS" w:hAnsi="Trebuchet MS"/>
          <w:lang w:eastAsia="fr-FR"/>
        </w:rPr>
        <w:t>prolifération des toiles d’araignée</w:t>
      </w:r>
      <w:r w:rsidR="00EB5B94">
        <w:rPr>
          <w:rFonts w:ascii="Trebuchet MS" w:hAnsi="Trebuchet MS"/>
          <w:lang w:eastAsia="fr-FR"/>
        </w:rPr>
        <w:t>.</w:t>
      </w:r>
    </w:p>
    <w:p w:rsidR="004D218B" w:rsidRDefault="00B87F20" w:rsidP="00A6689F">
      <w:pPr>
        <w:jc w:val="both"/>
        <w:rPr>
          <w:rFonts w:ascii="Trebuchet MS" w:hAnsi="Trebuchet MS"/>
          <w:lang w:eastAsia="fr-FR"/>
        </w:rPr>
      </w:pPr>
      <w:r>
        <w:rPr>
          <w:rFonts w:ascii="Trebuchet MS" w:hAnsi="Trebuchet MS"/>
          <w:lang w:eastAsia="fr-FR"/>
        </w:rPr>
        <w:t xml:space="preserve">En définitive, l’enquête sur la Consommation d’Electricité au Bénin </w:t>
      </w:r>
      <w:r w:rsidR="00C50EDC">
        <w:rPr>
          <w:rFonts w:ascii="Trebuchet MS" w:hAnsi="Trebuchet MS"/>
          <w:lang w:eastAsia="fr-FR"/>
        </w:rPr>
        <w:t xml:space="preserve">apparait comme une étude de base ayant servi à déterminer certains indicateurs se rapportant à la consommation d’électricité par les ménages. Des études complémentaires plus approfondies permettront des avancées en matière </w:t>
      </w:r>
    </w:p>
    <w:p w:rsidR="00BC1818" w:rsidRDefault="00BC1818" w:rsidP="00BC1818">
      <w:pPr>
        <w:rPr>
          <w:rFonts w:ascii="Trebuchet MS" w:hAnsi="Trebuchet MS"/>
          <w:lang w:eastAsia="fr-FR"/>
        </w:rPr>
      </w:pPr>
    </w:p>
    <w:p w:rsidR="005E3241" w:rsidRDefault="005E3241" w:rsidP="00BC1818">
      <w:pPr>
        <w:rPr>
          <w:rFonts w:ascii="Trebuchet MS" w:hAnsi="Trebuchet MS"/>
          <w:lang w:eastAsia="fr-FR"/>
        </w:rPr>
      </w:pPr>
    </w:p>
    <w:p w:rsidR="005E3241" w:rsidRDefault="005E3241" w:rsidP="00BC1818">
      <w:pPr>
        <w:rPr>
          <w:rFonts w:ascii="Trebuchet MS" w:hAnsi="Trebuchet MS"/>
          <w:lang w:eastAsia="fr-FR"/>
        </w:rPr>
      </w:pPr>
    </w:p>
    <w:p w:rsidR="005E3241" w:rsidRDefault="005E3241" w:rsidP="00BC1818">
      <w:pPr>
        <w:rPr>
          <w:rFonts w:ascii="Trebuchet MS" w:hAnsi="Trebuchet MS"/>
          <w:lang w:eastAsia="fr-FR"/>
        </w:rPr>
        <w:sectPr w:rsidR="005E3241" w:rsidSect="00DA1258">
          <w:pgSz w:w="11906" w:h="16838"/>
          <w:pgMar w:top="1383" w:right="1418" w:bottom="851" w:left="1418" w:header="567" w:footer="0" w:gutter="0"/>
          <w:cols w:space="708"/>
          <w:docGrid w:linePitch="360"/>
        </w:sectPr>
      </w:pPr>
    </w:p>
    <w:p w:rsidR="009E1BEE" w:rsidRPr="0072397D" w:rsidRDefault="009E1BEE" w:rsidP="0044323F">
      <w:pPr>
        <w:pStyle w:val="Titre1"/>
      </w:pPr>
      <w:bookmarkStart w:id="259" w:name="_Toc403929812"/>
      <w:bookmarkStart w:id="260" w:name="_Toc403933519"/>
      <w:bookmarkStart w:id="261" w:name="_Toc421805413"/>
      <w:bookmarkStart w:id="262" w:name="_Toc421806966"/>
      <w:bookmarkStart w:id="263" w:name="_Toc425961654"/>
      <w:bookmarkStart w:id="264" w:name="_Toc426359410"/>
      <w:bookmarkStart w:id="265" w:name="_Toc426359485"/>
      <w:r w:rsidRPr="0072397D">
        <w:t>ANNEXES</w:t>
      </w:r>
      <w:bookmarkEnd w:id="259"/>
      <w:bookmarkEnd w:id="260"/>
      <w:bookmarkEnd w:id="261"/>
      <w:bookmarkEnd w:id="262"/>
      <w:bookmarkEnd w:id="263"/>
      <w:bookmarkEnd w:id="264"/>
      <w:bookmarkEnd w:id="265"/>
    </w:p>
    <w:p w:rsidR="00D71663" w:rsidRPr="0072397D" w:rsidRDefault="00D71663" w:rsidP="00B25C5C">
      <w:pPr>
        <w:tabs>
          <w:tab w:val="right" w:pos="9072"/>
        </w:tabs>
        <w:jc w:val="both"/>
        <w:rPr>
          <w:rFonts w:ascii="Trebuchet MS" w:hAnsi="Trebuchet MS"/>
          <w:b/>
          <w:sz w:val="24"/>
          <w:szCs w:val="24"/>
        </w:rPr>
      </w:pPr>
    </w:p>
    <w:p w:rsidR="00844651" w:rsidRPr="00844651" w:rsidRDefault="00844651" w:rsidP="00844651">
      <w:pPr>
        <w:spacing w:after="0"/>
        <w:rPr>
          <w:b/>
          <w:sz w:val="20"/>
          <w:szCs w:val="20"/>
        </w:rPr>
      </w:pPr>
      <w:bookmarkStart w:id="266" w:name="_Toc425955994"/>
      <w:bookmarkStart w:id="267" w:name="_Toc426359372"/>
      <w:r w:rsidRPr="00844651">
        <w:rPr>
          <w:rFonts w:ascii="Trebuchet MS" w:hAnsi="Trebuchet MS"/>
          <w:b/>
          <w:sz w:val="20"/>
          <w:szCs w:val="20"/>
        </w:rPr>
        <w:t xml:space="preserve">Tableau </w:t>
      </w:r>
      <w:r w:rsidR="00792500" w:rsidRPr="00844651">
        <w:rPr>
          <w:rFonts w:ascii="Trebuchet MS" w:hAnsi="Trebuchet MS"/>
          <w:b/>
          <w:sz w:val="20"/>
          <w:szCs w:val="20"/>
        </w:rPr>
        <w:fldChar w:fldCharType="begin"/>
      </w:r>
      <w:r w:rsidRPr="00844651">
        <w:rPr>
          <w:rFonts w:ascii="Trebuchet MS" w:hAnsi="Trebuchet MS"/>
          <w:b/>
          <w:sz w:val="20"/>
          <w:szCs w:val="20"/>
        </w:rPr>
        <w:instrText xml:space="preserve"> SEQ Tableau \* ARABIC </w:instrText>
      </w:r>
      <w:r w:rsidR="00792500" w:rsidRPr="00844651">
        <w:rPr>
          <w:rFonts w:ascii="Trebuchet MS" w:hAnsi="Trebuchet MS"/>
          <w:b/>
          <w:sz w:val="20"/>
          <w:szCs w:val="20"/>
        </w:rPr>
        <w:fldChar w:fldCharType="separate"/>
      </w:r>
      <w:r w:rsidRPr="00844651">
        <w:rPr>
          <w:rFonts w:ascii="Trebuchet MS" w:hAnsi="Trebuchet MS"/>
          <w:b/>
          <w:noProof/>
          <w:sz w:val="20"/>
          <w:szCs w:val="20"/>
        </w:rPr>
        <w:t>53</w:t>
      </w:r>
      <w:r w:rsidR="00792500" w:rsidRPr="00844651">
        <w:rPr>
          <w:rFonts w:ascii="Trebuchet MS" w:hAnsi="Trebuchet MS"/>
          <w:b/>
          <w:sz w:val="20"/>
          <w:szCs w:val="20"/>
        </w:rPr>
        <w:fldChar w:fldCharType="end"/>
      </w:r>
      <w:r w:rsidRPr="00844651">
        <w:rPr>
          <w:rFonts w:ascii="Trebuchet MS" w:hAnsi="Trebuchet MS"/>
          <w:b/>
          <w:color w:val="000000"/>
          <w:sz w:val="20"/>
          <w:szCs w:val="20"/>
        </w:rPr>
        <w:t>: Répartition (%) des ménages selon la situation d’activité de leur chef selon le département et le milieu de résidence</w:t>
      </w:r>
      <w:bookmarkEnd w:id="266"/>
      <w:bookmarkEnd w:id="267"/>
    </w:p>
    <w:tbl>
      <w:tblPr>
        <w:tblW w:w="5000" w:type="pct"/>
        <w:tblInd w:w="-72" w:type="dxa"/>
        <w:tblBorders>
          <w:top w:val="double" w:sz="4" w:space="0" w:color="auto"/>
          <w:bottom w:val="double" w:sz="4" w:space="0" w:color="auto"/>
        </w:tblBorders>
        <w:tblLayout w:type="fixed"/>
        <w:tblCellMar>
          <w:left w:w="70" w:type="dxa"/>
          <w:right w:w="70" w:type="dxa"/>
        </w:tblCellMar>
        <w:tblLook w:val="04A0" w:firstRow="1" w:lastRow="0" w:firstColumn="1" w:lastColumn="0" w:noHBand="0" w:noVBand="1"/>
      </w:tblPr>
      <w:tblGrid>
        <w:gridCol w:w="2408"/>
        <w:gridCol w:w="1522"/>
        <w:gridCol w:w="935"/>
        <w:gridCol w:w="1262"/>
        <w:gridCol w:w="964"/>
        <w:gridCol w:w="1262"/>
        <w:gridCol w:w="1616"/>
        <w:gridCol w:w="1121"/>
        <w:gridCol w:w="902"/>
        <w:gridCol w:w="947"/>
        <w:gridCol w:w="743"/>
        <w:gridCol w:w="1062"/>
      </w:tblGrid>
      <w:tr w:rsidR="00312059" w:rsidRPr="00CF086A" w:rsidTr="00844651">
        <w:trPr>
          <w:trHeight w:val="138"/>
          <w:tblHeader/>
        </w:trPr>
        <w:tc>
          <w:tcPr>
            <w:tcW w:w="817" w:type="pct"/>
            <w:tcBorders>
              <w:bottom w:val="nil"/>
            </w:tcBorders>
            <w:shd w:val="clear" w:color="auto" w:fill="auto"/>
            <w:noWrap/>
            <w:vAlign w:val="bottom"/>
            <w:hideMark/>
          </w:tcPr>
          <w:p w:rsidR="00312059" w:rsidRPr="00CF086A" w:rsidRDefault="00312059" w:rsidP="00DC2869">
            <w:pPr>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823" w:type="pct"/>
            <w:gridSpan w:val="10"/>
            <w:tcBorders>
              <w:top w:val="doub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chefs de ménage occupés selon la branche d'activité</w:t>
            </w:r>
          </w:p>
        </w:tc>
        <w:tc>
          <w:tcPr>
            <w:tcW w:w="360" w:type="pct"/>
            <w:vMerge w:val="restart"/>
            <w:shd w:val="clear" w:color="auto" w:fill="auto"/>
            <w:noWrap/>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chefs de ménage occupés</w:t>
            </w:r>
          </w:p>
        </w:tc>
      </w:tr>
      <w:tr w:rsidR="00312059" w:rsidRPr="00CF086A" w:rsidTr="00844651">
        <w:trPr>
          <w:trHeight w:val="587"/>
          <w:tblHeader/>
        </w:trPr>
        <w:tc>
          <w:tcPr>
            <w:tcW w:w="817" w:type="pct"/>
            <w:tcBorders>
              <w:top w:val="nil"/>
              <w:bottom w:val="single" w:sz="4" w:space="0" w:color="auto"/>
            </w:tcBorders>
            <w:shd w:val="clear" w:color="auto" w:fill="auto"/>
            <w:noWrap/>
            <w:vAlign w:val="bottom"/>
            <w:hideMark/>
          </w:tcPr>
          <w:p w:rsidR="00312059" w:rsidRPr="00CF086A" w:rsidRDefault="00312059" w:rsidP="00DC2869">
            <w:pPr>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16"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Agriculture Elevage Pêche et Forêt</w:t>
            </w:r>
          </w:p>
        </w:tc>
        <w:tc>
          <w:tcPr>
            <w:tcW w:w="317"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Industrie</w:t>
            </w:r>
          </w:p>
        </w:tc>
        <w:tc>
          <w:tcPr>
            <w:tcW w:w="42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Eau, Electricité, Gaz</w:t>
            </w:r>
          </w:p>
        </w:tc>
        <w:tc>
          <w:tcPr>
            <w:tcW w:w="327"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BTP</w:t>
            </w:r>
          </w:p>
        </w:tc>
        <w:tc>
          <w:tcPr>
            <w:tcW w:w="42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Commerce et restauration</w:t>
            </w:r>
          </w:p>
        </w:tc>
        <w:tc>
          <w:tcPr>
            <w:tcW w:w="54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Transports et communications</w:t>
            </w:r>
          </w:p>
        </w:tc>
        <w:tc>
          <w:tcPr>
            <w:tcW w:w="380"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Banques et assurances</w:t>
            </w:r>
          </w:p>
        </w:tc>
        <w:tc>
          <w:tcPr>
            <w:tcW w:w="306"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Autres services</w:t>
            </w:r>
          </w:p>
        </w:tc>
        <w:tc>
          <w:tcPr>
            <w:tcW w:w="321" w:type="pct"/>
            <w:tcBorders>
              <w:top w:val="single" w:sz="4" w:space="0" w:color="auto"/>
              <w:bottom w:val="single" w:sz="4" w:space="0" w:color="auto"/>
              <w:right w:val="nil"/>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251" w:type="pct"/>
            <w:tcBorders>
              <w:top w:val="single" w:sz="4" w:space="0" w:color="auto"/>
              <w:left w:val="nil"/>
              <w:bottom w:val="single" w:sz="4" w:space="0" w:color="auto"/>
            </w:tcBorders>
            <w:shd w:val="clear" w:color="auto" w:fill="auto"/>
            <w:vAlign w:val="bottom"/>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Total</w:t>
            </w:r>
          </w:p>
        </w:tc>
        <w:tc>
          <w:tcPr>
            <w:tcW w:w="360" w:type="pct"/>
            <w:vMerge/>
            <w:tcBorders>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shd w:val="clear" w:color="auto" w:fill="auto"/>
            <w:noWrap/>
            <w:vAlign w:val="bottom"/>
            <w:hideMark/>
          </w:tcPr>
          <w:p w:rsidR="00312059" w:rsidRPr="00844651" w:rsidRDefault="00312059" w:rsidP="000D1ABF">
            <w:pPr>
              <w:spacing w:beforeLines="40" w:before="96" w:after="0" w:line="240" w:lineRule="auto"/>
              <w:rPr>
                <w:rFonts w:ascii="Trebuchet MS" w:hAnsi="Trebuchet MS"/>
                <w:b/>
                <w:color w:val="000000"/>
                <w:sz w:val="20"/>
                <w:szCs w:val="20"/>
              </w:rPr>
            </w:pPr>
            <w:r w:rsidRPr="00844651">
              <w:rPr>
                <w:rFonts w:ascii="Trebuchet MS" w:hAnsi="Trebuchet MS"/>
                <w:b/>
                <w:color w:val="000000"/>
                <w:sz w:val="20"/>
                <w:szCs w:val="20"/>
              </w:rPr>
              <w:t xml:space="preserve">Département </w:t>
            </w:r>
          </w:p>
        </w:tc>
        <w:tc>
          <w:tcPr>
            <w:tcW w:w="516"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17"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42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27"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42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54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80"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06"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21" w:type="pct"/>
            <w:tcBorders>
              <w:right w:val="nil"/>
            </w:tcBorders>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251" w:type="pct"/>
            <w:tcBorders>
              <w:left w:val="nil"/>
            </w:tcBorders>
            <w:shd w:val="clear" w:color="auto" w:fill="auto"/>
            <w:vAlign w:val="bottom"/>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60"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ALIBORI</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71,1</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1,4</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13,6</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10,5</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vAlign w:val="bottom"/>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294</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ATACORA</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54,6</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0,8</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1,7</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15,4</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2,9</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21,3</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0,4</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240</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ATLANTIQUE</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21,7</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2,9</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17,4</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12,8</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38,1</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2,1</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281</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BORGOU</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77,4</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0,3</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0,3</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1,2</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6,3</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2,7</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11,5</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332</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COLLINES</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64,3</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1,6</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0,5</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1,4</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11,4</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1,4</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0,5</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18,8</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0,2</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437</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COUFFO</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67,0</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0,5</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9,7</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20,4</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0,5</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206</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DONGA</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61,3</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2,5</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14,1</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4,6</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0,4</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9,5</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284</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LITTORAL</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3,9</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4,4</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28,2</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6,3</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3,9</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41,8</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5,8</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206</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MONO</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41,0</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8,6</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3,4</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20,5</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6,7</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0,4</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19,0</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0,4</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268</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OUEME</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11,8</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3,2</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1,7</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6,1</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19,6</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8,4</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0,9</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46,4</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2,0</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347</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PLATEAU</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43,9</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2,4</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0,8</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25,2</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5,7</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22,0</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123</w:t>
            </w:r>
          </w:p>
        </w:tc>
      </w:tr>
      <w:tr w:rsidR="00312059" w:rsidRPr="00CF086A" w:rsidTr="00844651">
        <w:trPr>
          <w:trHeight w:val="300"/>
        </w:trPr>
        <w:tc>
          <w:tcPr>
            <w:tcW w:w="817" w:type="pct"/>
            <w:tcBorders>
              <w:bottom w:val="nil"/>
            </w:tcBorders>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ZOU</w:t>
            </w:r>
          </w:p>
        </w:tc>
        <w:tc>
          <w:tcPr>
            <w:tcW w:w="516" w:type="pct"/>
            <w:tcBorders>
              <w:bottom w:val="nil"/>
            </w:tcBorders>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28,7</w:t>
            </w:r>
          </w:p>
        </w:tc>
        <w:tc>
          <w:tcPr>
            <w:tcW w:w="317" w:type="pct"/>
            <w:tcBorders>
              <w:bottom w:val="nil"/>
            </w:tcBorders>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1,3</w:t>
            </w:r>
          </w:p>
        </w:tc>
        <w:tc>
          <w:tcPr>
            <w:tcW w:w="428"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w:t>
            </w:r>
          </w:p>
        </w:tc>
        <w:tc>
          <w:tcPr>
            <w:tcW w:w="327"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0,5</w:t>
            </w:r>
          </w:p>
        </w:tc>
        <w:tc>
          <w:tcPr>
            <w:tcW w:w="428"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19,6</w:t>
            </w:r>
          </w:p>
        </w:tc>
        <w:tc>
          <w:tcPr>
            <w:tcW w:w="548"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7,2</w:t>
            </w:r>
          </w:p>
        </w:tc>
        <w:tc>
          <w:tcPr>
            <w:tcW w:w="380"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1,1</w:t>
            </w:r>
          </w:p>
        </w:tc>
        <w:tc>
          <w:tcPr>
            <w:tcW w:w="306"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40,6</w:t>
            </w:r>
          </w:p>
        </w:tc>
        <w:tc>
          <w:tcPr>
            <w:tcW w:w="321" w:type="pct"/>
            <w:tcBorders>
              <w:bottom w:val="nil"/>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bottom w:val="nil"/>
            </w:tcBorders>
            <w:shd w:val="clear" w:color="auto" w:fill="auto"/>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tcBorders>
              <w:bottom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b/>
                <w:color w:val="000000"/>
                <w:sz w:val="20"/>
                <w:szCs w:val="20"/>
                <w:lang w:eastAsia="fr-FR"/>
              </w:rPr>
            </w:pPr>
            <w:r w:rsidRPr="00844651">
              <w:rPr>
                <w:rFonts w:ascii="Trebuchet MS" w:eastAsia="Times New Roman" w:hAnsi="Trebuchet MS"/>
                <w:color w:val="000000"/>
                <w:sz w:val="20"/>
                <w:szCs w:val="20"/>
                <w:lang w:eastAsia="fr-FR"/>
              </w:rPr>
              <w:t>377</w:t>
            </w:r>
          </w:p>
        </w:tc>
      </w:tr>
      <w:tr w:rsidR="00312059" w:rsidRPr="00CF086A" w:rsidTr="00844651">
        <w:trPr>
          <w:trHeight w:val="300"/>
        </w:trPr>
        <w:tc>
          <w:tcPr>
            <w:tcW w:w="817" w:type="pct"/>
            <w:tcBorders>
              <w:top w:val="nil"/>
              <w:bottom w:val="nil"/>
            </w:tcBorders>
            <w:shd w:val="clear" w:color="auto" w:fill="auto"/>
            <w:noWrap/>
            <w:vAlign w:val="bottom"/>
            <w:hideMark/>
          </w:tcPr>
          <w:p w:rsidR="00312059" w:rsidRPr="00844651" w:rsidRDefault="00312059" w:rsidP="000D1ABF">
            <w:pPr>
              <w:spacing w:beforeLines="40" w:before="96" w:after="0" w:line="240" w:lineRule="auto"/>
              <w:rPr>
                <w:rFonts w:ascii="Trebuchet MS" w:hAnsi="Trebuchet MS"/>
                <w:b/>
                <w:color w:val="000000"/>
                <w:sz w:val="20"/>
                <w:szCs w:val="20"/>
              </w:rPr>
            </w:pPr>
            <w:r w:rsidRPr="00844651">
              <w:rPr>
                <w:rFonts w:ascii="Trebuchet MS" w:hAnsi="Trebuchet MS"/>
                <w:b/>
                <w:color w:val="000000"/>
                <w:sz w:val="20"/>
                <w:szCs w:val="20"/>
              </w:rPr>
              <w:t>Milieu de résidence</w:t>
            </w:r>
          </w:p>
        </w:tc>
        <w:tc>
          <w:tcPr>
            <w:tcW w:w="516" w:type="pct"/>
            <w:tcBorders>
              <w:top w:val="nil"/>
              <w:bottom w:val="nil"/>
            </w:tcBorders>
            <w:shd w:val="clear" w:color="auto" w:fill="auto"/>
            <w:noWrap/>
            <w:vAlign w:val="bottom"/>
            <w:hideMark/>
          </w:tcPr>
          <w:p w:rsidR="00792500" w:rsidRDefault="00792500" w:rsidP="000D1ABF">
            <w:pPr>
              <w:spacing w:beforeLines="40" w:before="96" w:after="0" w:line="240" w:lineRule="auto"/>
              <w:jc w:val="center"/>
              <w:rPr>
                <w:rFonts w:ascii="Trebuchet MS" w:eastAsia="Times New Roman" w:hAnsi="Trebuchet MS"/>
                <w:color w:val="000000"/>
                <w:sz w:val="20"/>
                <w:szCs w:val="20"/>
                <w:lang w:eastAsia="fr-FR"/>
              </w:rPr>
            </w:pPr>
          </w:p>
        </w:tc>
        <w:tc>
          <w:tcPr>
            <w:tcW w:w="317" w:type="pct"/>
            <w:tcBorders>
              <w:top w:val="nil"/>
              <w:bottom w:val="nil"/>
            </w:tcBorders>
            <w:shd w:val="clear" w:color="auto" w:fill="auto"/>
            <w:noWrap/>
            <w:vAlign w:val="bottom"/>
            <w:hideMark/>
          </w:tcPr>
          <w:p w:rsidR="00792500" w:rsidRDefault="00792500" w:rsidP="000D1ABF">
            <w:pPr>
              <w:spacing w:beforeLines="40" w:before="96" w:after="0" w:line="240" w:lineRule="auto"/>
              <w:jc w:val="center"/>
              <w:rPr>
                <w:rFonts w:ascii="Trebuchet MS" w:eastAsia="Times New Roman" w:hAnsi="Trebuchet MS"/>
                <w:color w:val="000000"/>
                <w:sz w:val="20"/>
                <w:szCs w:val="20"/>
                <w:lang w:eastAsia="fr-FR"/>
              </w:rPr>
            </w:pPr>
          </w:p>
        </w:tc>
        <w:tc>
          <w:tcPr>
            <w:tcW w:w="428"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327"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428"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548"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380"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306" w:type="pct"/>
            <w:tcBorders>
              <w:top w:val="nil"/>
              <w:bottom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321" w:type="pct"/>
            <w:tcBorders>
              <w:top w:val="nil"/>
              <w:bottom w:val="nil"/>
              <w:right w:val="nil"/>
            </w:tcBorders>
            <w:shd w:val="clear" w:color="auto" w:fill="auto"/>
            <w:noWrap/>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251" w:type="pct"/>
            <w:tcBorders>
              <w:top w:val="nil"/>
              <w:left w:val="nil"/>
              <w:bottom w:val="nil"/>
            </w:tcBorders>
            <w:shd w:val="clear" w:color="auto" w:fill="auto"/>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c>
          <w:tcPr>
            <w:tcW w:w="360" w:type="pct"/>
            <w:tcBorders>
              <w:top w:val="nil"/>
              <w:bottom w:val="nil"/>
            </w:tcBorders>
            <w:shd w:val="clear" w:color="auto" w:fill="auto"/>
            <w:vAlign w:val="bottom"/>
            <w:hideMark/>
          </w:tcPr>
          <w:p w:rsidR="007843E6" w:rsidRDefault="007843E6" w:rsidP="000D1ABF">
            <w:pPr>
              <w:spacing w:beforeLines="40" w:before="96"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tcBorders>
              <w:top w:val="nil"/>
            </w:tcBorders>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Urbain</w:t>
            </w:r>
          </w:p>
        </w:tc>
        <w:tc>
          <w:tcPr>
            <w:tcW w:w="516" w:type="pct"/>
            <w:tcBorders>
              <w:top w:val="nil"/>
            </w:tcBorders>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30,8</w:t>
            </w:r>
          </w:p>
        </w:tc>
        <w:tc>
          <w:tcPr>
            <w:tcW w:w="317" w:type="pct"/>
            <w:tcBorders>
              <w:top w:val="nil"/>
            </w:tcBorders>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3,4</w:t>
            </w:r>
          </w:p>
        </w:tc>
        <w:tc>
          <w:tcPr>
            <w:tcW w:w="428"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1,6</w:t>
            </w:r>
          </w:p>
        </w:tc>
        <w:tc>
          <w:tcPr>
            <w:tcW w:w="327"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3,5</w:t>
            </w:r>
          </w:p>
        </w:tc>
        <w:tc>
          <w:tcPr>
            <w:tcW w:w="428"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18,7</w:t>
            </w:r>
          </w:p>
        </w:tc>
        <w:tc>
          <w:tcPr>
            <w:tcW w:w="548"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6,7</w:t>
            </w:r>
          </w:p>
        </w:tc>
        <w:tc>
          <w:tcPr>
            <w:tcW w:w="380"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w:t>
            </w:r>
          </w:p>
        </w:tc>
        <w:tc>
          <w:tcPr>
            <w:tcW w:w="306"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32,8</w:t>
            </w:r>
          </w:p>
        </w:tc>
        <w:tc>
          <w:tcPr>
            <w:tcW w:w="321" w:type="pct"/>
            <w:tcBorders>
              <w:top w:val="nil"/>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w:t>
            </w:r>
          </w:p>
        </w:tc>
        <w:tc>
          <w:tcPr>
            <w:tcW w:w="251" w:type="pct"/>
            <w:tcBorders>
              <w:top w:val="nil"/>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tcBorders>
              <w:top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1338</w:t>
            </w:r>
          </w:p>
        </w:tc>
      </w:tr>
      <w:tr w:rsidR="00312059" w:rsidRPr="00CF086A" w:rsidTr="00844651">
        <w:trPr>
          <w:trHeight w:val="300"/>
        </w:trPr>
        <w:tc>
          <w:tcPr>
            <w:tcW w:w="817" w:type="pct"/>
            <w:shd w:val="clear" w:color="auto" w:fill="auto"/>
            <w:noWrap/>
            <w:vAlign w:val="bottom"/>
            <w:hideMark/>
          </w:tcPr>
          <w:p w:rsidR="00312059" w:rsidRPr="00BE0F7A" w:rsidRDefault="00312059" w:rsidP="000D1ABF">
            <w:pPr>
              <w:spacing w:beforeLines="40" w:before="96"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Rural</w:t>
            </w:r>
          </w:p>
        </w:tc>
        <w:tc>
          <w:tcPr>
            <w:tcW w:w="516"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56,1</w:t>
            </w:r>
          </w:p>
        </w:tc>
        <w:tc>
          <w:tcPr>
            <w:tcW w:w="317" w:type="pct"/>
            <w:shd w:val="clear" w:color="auto" w:fill="auto"/>
            <w:noWrap/>
            <w:vAlign w:val="bottom"/>
            <w:hideMark/>
          </w:tcPr>
          <w:p w:rsidR="00792500"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w:t>
            </w:r>
          </w:p>
        </w:tc>
        <w:tc>
          <w:tcPr>
            <w:tcW w:w="327"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1,6</w:t>
            </w:r>
          </w:p>
        </w:tc>
        <w:tc>
          <w:tcPr>
            <w:tcW w:w="42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14,2</w:t>
            </w:r>
          </w:p>
        </w:tc>
        <w:tc>
          <w:tcPr>
            <w:tcW w:w="548"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4,0</w:t>
            </w:r>
          </w:p>
        </w:tc>
        <w:tc>
          <w:tcPr>
            <w:tcW w:w="38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20,3</w:t>
            </w:r>
          </w:p>
        </w:tc>
        <w:tc>
          <w:tcPr>
            <w:tcW w:w="321" w:type="pct"/>
            <w:tcBorders>
              <w:right w:val="nil"/>
            </w:tcBorders>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0,6</w:t>
            </w:r>
          </w:p>
        </w:tc>
        <w:tc>
          <w:tcPr>
            <w:tcW w:w="251" w:type="pct"/>
            <w:tcBorders>
              <w:left w:val="nil"/>
            </w:tcBorders>
            <w:shd w:val="clear" w:color="auto" w:fill="auto"/>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7843E6" w:rsidRDefault="00312059" w:rsidP="000D1ABF">
            <w:pPr>
              <w:spacing w:beforeLines="40" w:before="96"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2057</w:t>
            </w:r>
          </w:p>
        </w:tc>
      </w:tr>
      <w:tr w:rsidR="00312059" w:rsidRPr="00844651" w:rsidTr="00844651">
        <w:trPr>
          <w:trHeight w:val="300"/>
        </w:trPr>
        <w:tc>
          <w:tcPr>
            <w:tcW w:w="817" w:type="pct"/>
            <w:tcBorders>
              <w:top w:val="single" w:sz="4" w:space="0" w:color="auto"/>
              <w:bottom w:val="double" w:sz="4" w:space="0" w:color="auto"/>
            </w:tcBorders>
            <w:shd w:val="clear" w:color="auto" w:fill="auto"/>
            <w:noWrap/>
            <w:vAlign w:val="bottom"/>
            <w:hideMark/>
          </w:tcPr>
          <w:p w:rsidR="00312059" w:rsidRPr="00844651" w:rsidRDefault="00312059" w:rsidP="000D1ABF">
            <w:pPr>
              <w:spacing w:beforeLines="40" w:before="96" w:after="0" w:line="240" w:lineRule="auto"/>
              <w:rPr>
                <w:rFonts w:ascii="Trebuchet MS" w:hAnsi="Trebuchet MS"/>
                <w:b/>
                <w:color w:val="000000"/>
                <w:sz w:val="20"/>
                <w:szCs w:val="20"/>
              </w:rPr>
            </w:pPr>
            <w:r w:rsidRPr="00844651">
              <w:rPr>
                <w:rFonts w:ascii="Trebuchet MS" w:hAnsi="Trebuchet MS"/>
                <w:b/>
                <w:color w:val="000000"/>
                <w:sz w:val="20"/>
                <w:szCs w:val="20"/>
              </w:rPr>
              <w:t>Ensemble</w:t>
            </w:r>
          </w:p>
        </w:tc>
        <w:tc>
          <w:tcPr>
            <w:tcW w:w="516" w:type="pct"/>
            <w:tcBorders>
              <w:top w:val="single" w:sz="4" w:space="0" w:color="auto"/>
              <w:bottom w:val="double" w:sz="4" w:space="0" w:color="auto"/>
            </w:tcBorders>
            <w:shd w:val="clear" w:color="auto" w:fill="auto"/>
            <w:noWrap/>
            <w:vAlign w:val="bottom"/>
            <w:hideMark/>
          </w:tcPr>
          <w:p w:rsidR="00792500"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46,1</w:t>
            </w:r>
          </w:p>
        </w:tc>
        <w:tc>
          <w:tcPr>
            <w:tcW w:w="317" w:type="pct"/>
            <w:tcBorders>
              <w:top w:val="single" w:sz="4" w:space="0" w:color="auto"/>
              <w:bottom w:val="double" w:sz="4" w:space="0" w:color="auto"/>
            </w:tcBorders>
            <w:shd w:val="clear" w:color="auto" w:fill="auto"/>
            <w:noWrap/>
            <w:vAlign w:val="bottom"/>
            <w:hideMark/>
          </w:tcPr>
          <w:p w:rsidR="00792500"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2,5</w:t>
            </w:r>
          </w:p>
        </w:tc>
        <w:tc>
          <w:tcPr>
            <w:tcW w:w="428"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1,2</w:t>
            </w:r>
          </w:p>
        </w:tc>
        <w:tc>
          <w:tcPr>
            <w:tcW w:w="327"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2,3</w:t>
            </w:r>
          </w:p>
        </w:tc>
        <w:tc>
          <w:tcPr>
            <w:tcW w:w="428"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16,0</w:t>
            </w:r>
          </w:p>
        </w:tc>
        <w:tc>
          <w:tcPr>
            <w:tcW w:w="548"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5,0</w:t>
            </w:r>
          </w:p>
        </w:tc>
        <w:tc>
          <w:tcPr>
            <w:tcW w:w="380"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0,7</w:t>
            </w:r>
          </w:p>
        </w:tc>
        <w:tc>
          <w:tcPr>
            <w:tcW w:w="306"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25,2</w:t>
            </w:r>
          </w:p>
        </w:tc>
        <w:tc>
          <w:tcPr>
            <w:tcW w:w="321" w:type="pct"/>
            <w:tcBorders>
              <w:top w:val="single" w:sz="4" w:space="0" w:color="auto"/>
              <w:bottom w:val="double" w:sz="4" w:space="0" w:color="auto"/>
              <w:right w:val="nil"/>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0,9</w:t>
            </w:r>
          </w:p>
        </w:tc>
        <w:tc>
          <w:tcPr>
            <w:tcW w:w="251" w:type="pct"/>
            <w:tcBorders>
              <w:top w:val="single" w:sz="4" w:space="0" w:color="auto"/>
              <w:left w:val="nil"/>
              <w:bottom w:val="double" w:sz="4" w:space="0" w:color="auto"/>
            </w:tcBorders>
            <w:shd w:val="clear" w:color="auto" w:fill="auto"/>
          </w:tcPr>
          <w:p w:rsidR="007843E6" w:rsidRDefault="00312059" w:rsidP="000D1ABF">
            <w:pPr>
              <w:spacing w:beforeLines="40" w:before="96" w:after="0" w:line="240" w:lineRule="auto"/>
              <w:jc w:val="center"/>
              <w:rPr>
                <w:rFonts w:ascii="Trebuchet MS" w:hAnsi="Trebuchet MS"/>
                <w:b/>
                <w:color w:val="000000"/>
                <w:sz w:val="19"/>
                <w:szCs w:val="19"/>
              </w:rPr>
            </w:pPr>
            <w:r w:rsidRPr="00844651">
              <w:rPr>
                <w:rFonts w:ascii="Trebuchet MS" w:hAnsi="Trebuchet MS"/>
                <w:b/>
                <w:color w:val="000000"/>
                <w:sz w:val="19"/>
                <w:szCs w:val="19"/>
              </w:rPr>
              <w:t>100 ,0</w:t>
            </w:r>
          </w:p>
        </w:tc>
        <w:tc>
          <w:tcPr>
            <w:tcW w:w="360" w:type="pct"/>
            <w:tcBorders>
              <w:top w:val="single" w:sz="4" w:space="0" w:color="auto"/>
              <w:bottom w:val="double" w:sz="4" w:space="0" w:color="auto"/>
            </w:tcBorders>
            <w:shd w:val="clear" w:color="auto" w:fill="auto"/>
            <w:noWrap/>
            <w:vAlign w:val="bottom"/>
            <w:hideMark/>
          </w:tcPr>
          <w:p w:rsidR="007843E6" w:rsidRDefault="00312059" w:rsidP="000D1ABF">
            <w:pPr>
              <w:spacing w:beforeLines="40" w:before="96" w:after="0" w:line="240" w:lineRule="auto"/>
              <w:jc w:val="center"/>
              <w:rPr>
                <w:rFonts w:ascii="Trebuchet MS" w:hAnsi="Trebuchet MS"/>
                <w:b/>
                <w:color w:val="000000"/>
                <w:sz w:val="20"/>
                <w:szCs w:val="20"/>
              </w:rPr>
            </w:pPr>
            <w:r w:rsidRPr="00844651">
              <w:rPr>
                <w:rFonts w:ascii="Trebuchet MS" w:hAnsi="Trebuchet MS"/>
                <w:b/>
                <w:color w:val="000000"/>
                <w:sz w:val="20"/>
                <w:szCs w:val="20"/>
              </w:rPr>
              <w:t>3395</w:t>
            </w:r>
          </w:p>
        </w:tc>
      </w:tr>
      <w:tr w:rsidR="00312059" w:rsidRPr="00C247B4" w:rsidTr="00844651">
        <w:trPr>
          <w:trHeight w:val="237"/>
        </w:trPr>
        <w:tc>
          <w:tcPr>
            <w:tcW w:w="5000" w:type="pct"/>
            <w:gridSpan w:val="12"/>
            <w:tcBorders>
              <w:top w:val="double" w:sz="4" w:space="0" w:color="auto"/>
              <w:bottom w:val="nil"/>
            </w:tcBorders>
            <w:shd w:val="clear" w:color="auto" w:fill="auto"/>
            <w:noWrap/>
            <w:vAlign w:val="bottom"/>
            <w:hideMark/>
          </w:tcPr>
          <w:p w:rsidR="00312059" w:rsidRPr="00C247B4" w:rsidRDefault="00312059" w:rsidP="00DC2869">
            <w:pPr>
              <w:spacing w:after="0" w:line="240" w:lineRule="auto"/>
              <w:rPr>
                <w:rFonts w:ascii="Trebuchet MS" w:eastAsia="Times New Roman" w:hAnsi="Trebuchet MS" w:cs="Arial"/>
                <w:color w:val="000000"/>
                <w:sz w:val="20"/>
                <w:szCs w:val="20"/>
                <w:lang w:eastAsia="fr-FR"/>
              </w:rPr>
            </w:pPr>
            <w:r w:rsidRPr="00F57BAA">
              <w:rPr>
                <w:rFonts w:ascii="Trebuchet MS" w:hAnsi="Trebuchet MS" w:cs="Arial"/>
                <w:bCs/>
                <w:color w:val="000000"/>
              </w:rPr>
              <w:t>Source : ECEB, INSAE, 2015</w:t>
            </w:r>
          </w:p>
        </w:tc>
      </w:tr>
    </w:tbl>
    <w:p w:rsidR="00312059" w:rsidRDefault="00312059" w:rsidP="00312059">
      <w:pPr>
        <w:rPr>
          <w:rFonts w:ascii="Trebuchet MS" w:hAnsi="Trebuchet MS"/>
        </w:rPr>
      </w:pPr>
    </w:p>
    <w:p w:rsidR="002B529B" w:rsidRDefault="002B529B" w:rsidP="00312059">
      <w:pPr>
        <w:rPr>
          <w:rFonts w:ascii="Trebuchet MS" w:hAnsi="Trebuchet MS"/>
        </w:rPr>
      </w:pPr>
    </w:p>
    <w:p w:rsidR="002B529B" w:rsidRDefault="002B529B" w:rsidP="00312059">
      <w:pPr>
        <w:rPr>
          <w:rFonts w:ascii="Trebuchet MS" w:hAnsi="Trebuchet MS"/>
        </w:rPr>
        <w:sectPr w:rsidR="002B529B" w:rsidSect="00CF086A">
          <w:pgSz w:w="16838" w:h="11906" w:orient="landscape"/>
          <w:pgMar w:top="1418" w:right="1383" w:bottom="1418" w:left="851" w:header="567" w:footer="0" w:gutter="0"/>
          <w:cols w:space="708"/>
          <w:docGrid w:linePitch="360"/>
        </w:sectPr>
      </w:pPr>
    </w:p>
    <w:p w:rsidR="00BC72C9" w:rsidRPr="002C006A" w:rsidRDefault="00BC72C9" w:rsidP="002C006A">
      <w:pPr>
        <w:spacing w:after="0" w:line="240" w:lineRule="auto"/>
        <w:jc w:val="both"/>
        <w:rPr>
          <w:sz w:val="20"/>
          <w:szCs w:val="20"/>
        </w:rPr>
      </w:pPr>
      <w:bookmarkStart w:id="268" w:name="_Toc425955995"/>
      <w:bookmarkStart w:id="269" w:name="_Toc426359373"/>
      <w:r w:rsidRPr="002C006A">
        <w:rPr>
          <w:rFonts w:ascii="Trebuchet MS" w:eastAsia="Times New Roman" w:hAnsi="Trebuchet MS"/>
          <w:b/>
          <w:bCs/>
          <w:color w:val="000000"/>
          <w:sz w:val="20"/>
          <w:szCs w:val="20"/>
          <w:lang w:eastAsia="fr-FR"/>
        </w:rPr>
        <w:t xml:space="preserve">Tableau </w:t>
      </w:r>
      <w:r w:rsidR="00792500" w:rsidRPr="002C006A">
        <w:rPr>
          <w:rFonts w:ascii="Trebuchet MS" w:eastAsia="Times New Roman" w:hAnsi="Trebuchet MS"/>
          <w:b/>
          <w:bCs/>
          <w:color w:val="000000"/>
          <w:sz w:val="20"/>
          <w:szCs w:val="20"/>
          <w:lang w:eastAsia="fr-FR"/>
        </w:rPr>
        <w:fldChar w:fldCharType="begin"/>
      </w:r>
      <w:r w:rsidRPr="002C006A">
        <w:rPr>
          <w:rFonts w:ascii="Trebuchet MS" w:eastAsia="Times New Roman" w:hAnsi="Trebuchet MS"/>
          <w:b/>
          <w:bCs/>
          <w:color w:val="000000"/>
          <w:sz w:val="20"/>
          <w:szCs w:val="20"/>
          <w:lang w:eastAsia="fr-FR"/>
        </w:rPr>
        <w:instrText xml:space="preserve"> SEQ Tableau \* ARABIC </w:instrText>
      </w:r>
      <w:r w:rsidR="00792500" w:rsidRPr="002C006A">
        <w:rPr>
          <w:rFonts w:ascii="Trebuchet MS" w:eastAsia="Times New Roman" w:hAnsi="Trebuchet MS"/>
          <w:b/>
          <w:bCs/>
          <w:color w:val="000000"/>
          <w:sz w:val="20"/>
          <w:szCs w:val="20"/>
          <w:lang w:eastAsia="fr-FR"/>
        </w:rPr>
        <w:fldChar w:fldCharType="separate"/>
      </w:r>
      <w:r w:rsidRPr="002C006A">
        <w:rPr>
          <w:rFonts w:ascii="Trebuchet MS" w:eastAsia="Times New Roman" w:hAnsi="Trebuchet MS"/>
          <w:b/>
          <w:bCs/>
          <w:noProof/>
          <w:color w:val="000000"/>
          <w:sz w:val="20"/>
          <w:szCs w:val="20"/>
          <w:lang w:eastAsia="fr-FR"/>
        </w:rPr>
        <w:t>54</w:t>
      </w:r>
      <w:r w:rsidR="00792500" w:rsidRPr="002C006A">
        <w:rPr>
          <w:rFonts w:ascii="Trebuchet MS" w:eastAsia="Times New Roman" w:hAnsi="Trebuchet MS"/>
          <w:b/>
          <w:bCs/>
          <w:color w:val="000000"/>
          <w:sz w:val="20"/>
          <w:szCs w:val="20"/>
          <w:lang w:eastAsia="fr-FR"/>
        </w:rPr>
        <w:fldChar w:fldCharType="end"/>
      </w:r>
      <w:r w:rsidRPr="002C006A">
        <w:rPr>
          <w:rFonts w:ascii="Trebuchet MS" w:eastAsia="Times New Roman" w:hAnsi="Trebuchet MS"/>
          <w:b/>
          <w:bCs/>
          <w:color w:val="000000"/>
          <w:sz w:val="20"/>
          <w:szCs w:val="20"/>
          <w:lang w:eastAsia="fr-FR"/>
        </w:rPr>
        <w:t> : Revenus moyens mensuel des chefs de ménage et répartition (%) des chefs de ménages selon le type de revenu d’activité principalesuivant le sexe, le groupe d’âge, le niveau d’instruction et la branche d’activité du chef de ménage</w:t>
      </w:r>
      <w:bookmarkEnd w:id="268"/>
      <w:bookmarkEnd w:id="269"/>
    </w:p>
    <w:tbl>
      <w:tblPr>
        <w:tblW w:w="12505" w:type="dxa"/>
        <w:tblBorders>
          <w:top w:val="double" w:sz="4" w:space="0" w:color="auto"/>
          <w:bottom w:val="double" w:sz="4" w:space="0" w:color="auto"/>
        </w:tblBorders>
        <w:tblCellMar>
          <w:left w:w="70" w:type="dxa"/>
          <w:right w:w="70" w:type="dxa"/>
        </w:tblCellMar>
        <w:tblLook w:val="04A0" w:firstRow="1" w:lastRow="0" w:firstColumn="1" w:lastColumn="0" w:noHBand="0" w:noVBand="1"/>
      </w:tblPr>
      <w:tblGrid>
        <w:gridCol w:w="3297"/>
        <w:gridCol w:w="1576"/>
        <w:gridCol w:w="1150"/>
        <w:gridCol w:w="1008"/>
        <w:gridCol w:w="662"/>
        <w:gridCol w:w="1223"/>
        <w:gridCol w:w="1045"/>
        <w:gridCol w:w="763"/>
        <w:gridCol w:w="840"/>
        <w:gridCol w:w="1071"/>
      </w:tblGrid>
      <w:tr w:rsidR="002B529B" w:rsidRPr="00686FF6" w:rsidTr="002C006A">
        <w:trPr>
          <w:trHeight w:val="465"/>
          <w:tblHeader/>
        </w:trPr>
        <w:tc>
          <w:tcPr>
            <w:tcW w:w="3297" w:type="dxa"/>
            <w:vMerge w:val="restart"/>
            <w:tcBorders>
              <w:top w:val="double" w:sz="4" w:space="0" w:color="auto"/>
              <w:bottom w:val="nil"/>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color w:val="000000"/>
                <w:sz w:val="20"/>
                <w:szCs w:val="20"/>
                <w:lang w:eastAsia="fr-FR"/>
              </w:rPr>
            </w:pPr>
            <w:r w:rsidRPr="002C006A">
              <w:rPr>
                <w:rFonts w:ascii="Trebuchet MS" w:eastAsia="Times New Roman" w:hAnsi="Trebuchet MS"/>
                <w:color w:val="000000"/>
                <w:sz w:val="20"/>
                <w:szCs w:val="20"/>
                <w:lang w:eastAsia="fr-FR"/>
              </w:rPr>
              <w:t> </w:t>
            </w:r>
          </w:p>
          <w:p w:rsidR="002B529B" w:rsidRPr="002C006A" w:rsidRDefault="002B529B" w:rsidP="00B12BA8">
            <w:pPr>
              <w:rPr>
                <w:rFonts w:ascii="Trebuchet MS" w:eastAsia="Times New Roman" w:hAnsi="Trebuchet MS"/>
                <w:color w:val="000000"/>
                <w:sz w:val="20"/>
                <w:szCs w:val="20"/>
                <w:lang w:eastAsia="fr-FR"/>
              </w:rPr>
            </w:pPr>
            <w:r w:rsidRPr="002C006A">
              <w:rPr>
                <w:rFonts w:ascii="Trebuchet MS" w:eastAsia="Times New Roman" w:hAnsi="Trebuchet MS"/>
                <w:color w:val="000000"/>
                <w:sz w:val="20"/>
                <w:szCs w:val="20"/>
                <w:lang w:eastAsia="fr-FR"/>
              </w:rPr>
              <w:t> </w:t>
            </w:r>
          </w:p>
        </w:tc>
        <w:tc>
          <w:tcPr>
            <w:tcW w:w="1576" w:type="dxa"/>
            <w:vMerge w:val="restart"/>
            <w:tcBorders>
              <w:top w:val="double" w:sz="4" w:space="0" w:color="auto"/>
              <w:bottom w:val="nil"/>
              <w:right w:val="nil"/>
            </w:tcBorders>
            <w:shd w:val="clear" w:color="auto" w:fill="auto"/>
            <w:vAlign w:val="center"/>
            <w:hideMark/>
          </w:tcPr>
          <w:p w:rsidR="002B529B" w:rsidRPr="002C006A" w:rsidRDefault="002B529B" w:rsidP="002C006A">
            <w:pPr>
              <w:spacing w:before="40" w:after="0"/>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Revenu mensuel moyen du chef de ménage</w:t>
            </w:r>
          </w:p>
        </w:tc>
        <w:tc>
          <w:tcPr>
            <w:tcW w:w="6561" w:type="dxa"/>
            <w:gridSpan w:val="7"/>
            <w:tcBorders>
              <w:top w:val="double" w:sz="4" w:space="0" w:color="auto"/>
              <w:left w:val="nil"/>
              <w:bottom w:val="single" w:sz="4" w:space="0" w:color="auto"/>
            </w:tcBorders>
            <w:shd w:val="clear" w:color="auto" w:fill="auto"/>
            <w:vAlign w:val="center"/>
            <w:hideMark/>
          </w:tcPr>
          <w:p w:rsidR="002B529B" w:rsidRPr="002C006A" w:rsidRDefault="002B529B" w:rsidP="00B12BA8">
            <w:pPr>
              <w:spacing w:after="0" w:line="240" w:lineRule="auto"/>
              <w:jc w:val="center"/>
              <w:rPr>
                <w:rFonts w:ascii="Trebuchet MS" w:eastAsia="Times New Roman" w:hAnsi="Trebuchet MS"/>
                <w:b/>
                <w:bCs/>
                <w:color w:val="000000"/>
                <w:sz w:val="20"/>
                <w:szCs w:val="20"/>
                <w:lang w:eastAsia="fr-FR"/>
              </w:rPr>
            </w:pPr>
            <w:r w:rsidRPr="002C006A">
              <w:rPr>
                <w:rFonts w:ascii="Trebuchet MS" w:eastAsia="Times New Roman" w:hAnsi="Trebuchet MS"/>
                <w:b/>
                <w:bCs/>
                <w:color w:val="000000"/>
                <w:sz w:val="20"/>
                <w:szCs w:val="20"/>
                <w:lang w:eastAsia="fr-FR"/>
              </w:rPr>
              <w:t>Pourcentage de chefs de ménage selon le type de revenu perçu d'activité principale</w:t>
            </w:r>
          </w:p>
        </w:tc>
        <w:tc>
          <w:tcPr>
            <w:tcW w:w="1071" w:type="dxa"/>
            <w:vMerge w:val="restart"/>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Effectif des chefs de ménage occupés</w:t>
            </w:r>
          </w:p>
        </w:tc>
      </w:tr>
      <w:tr w:rsidR="002B529B" w:rsidRPr="00686FF6" w:rsidTr="002C006A">
        <w:trPr>
          <w:trHeight w:val="492"/>
          <w:tblHeader/>
        </w:trPr>
        <w:tc>
          <w:tcPr>
            <w:tcW w:w="3297" w:type="dxa"/>
            <w:vMerge/>
            <w:tcBorders>
              <w:top w:val="nil"/>
              <w:bottom w:val="sing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color w:val="000000"/>
                <w:sz w:val="20"/>
                <w:szCs w:val="20"/>
                <w:lang w:eastAsia="fr-FR"/>
              </w:rPr>
            </w:pPr>
          </w:p>
        </w:tc>
        <w:tc>
          <w:tcPr>
            <w:tcW w:w="1576" w:type="dxa"/>
            <w:vMerge/>
            <w:tcBorders>
              <w:top w:val="nil"/>
              <w:bottom w:val="single" w:sz="4" w:space="0" w:color="auto"/>
              <w:right w:val="nil"/>
            </w:tcBorders>
            <w:shd w:val="clear" w:color="auto" w:fill="auto"/>
            <w:vAlign w:val="center"/>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p>
        </w:tc>
        <w:tc>
          <w:tcPr>
            <w:tcW w:w="1150" w:type="dxa"/>
            <w:tcBorders>
              <w:top w:val="single" w:sz="4" w:space="0" w:color="auto"/>
              <w:left w:val="nil"/>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Salaire fixe mensuel</w:t>
            </w:r>
          </w:p>
        </w:tc>
        <w:tc>
          <w:tcPr>
            <w:tcW w:w="1008" w:type="dxa"/>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Au jour ou à l'heure</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 la tâche</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 la commission</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Bénéfices</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En nature</w:t>
            </w:r>
          </w:p>
        </w:tc>
        <w:tc>
          <w:tcPr>
            <w:tcW w:w="820" w:type="dxa"/>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Non déclaré</w:t>
            </w:r>
          </w:p>
        </w:tc>
        <w:tc>
          <w:tcPr>
            <w:tcW w:w="1071" w:type="dxa"/>
            <w:vMerge/>
            <w:tcBorders>
              <w:bottom w:val="single" w:sz="4" w:space="0" w:color="auto"/>
            </w:tcBorders>
            <w:shd w:val="clear" w:color="auto" w:fill="auto"/>
            <w:vAlign w:val="center"/>
            <w:hideMark/>
          </w:tcPr>
          <w:p w:rsidR="002B529B" w:rsidRPr="00686FF6" w:rsidRDefault="002B529B" w:rsidP="00B12BA8">
            <w:pPr>
              <w:spacing w:after="0" w:line="240" w:lineRule="auto"/>
              <w:rPr>
                <w:rFonts w:ascii="Trebuchet MS" w:eastAsia="Times New Roman" w:hAnsi="Trebuchet MS"/>
                <w:color w:val="000000"/>
                <w:sz w:val="20"/>
                <w:szCs w:val="20"/>
                <w:lang w:eastAsia="fr-FR"/>
              </w:rPr>
            </w:pPr>
          </w:p>
        </w:tc>
      </w:tr>
      <w:tr w:rsidR="002B529B" w:rsidRPr="00686FF6" w:rsidTr="002C006A">
        <w:trPr>
          <w:trHeight w:val="273"/>
        </w:trPr>
        <w:tc>
          <w:tcPr>
            <w:tcW w:w="3297" w:type="dxa"/>
            <w:tcBorders>
              <w:top w:val="sing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Sexe du CM</w:t>
            </w:r>
          </w:p>
        </w:tc>
        <w:tc>
          <w:tcPr>
            <w:tcW w:w="1576" w:type="dxa"/>
            <w:tcBorders>
              <w:top w:val="single" w:sz="4" w:space="0" w:color="auto"/>
            </w:tcBorders>
            <w:shd w:val="clear" w:color="auto" w:fill="auto"/>
            <w:noWrap/>
            <w:vAlign w:val="bottom"/>
            <w:hideMark/>
          </w:tcPr>
          <w:p w:rsidR="002B529B" w:rsidRPr="00686FF6" w:rsidRDefault="002B529B" w:rsidP="000D1ABF">
            <w:pPr>
              <w:spacing w:beforeLines="40" w:before="96" w:after="0" w:line="240" w:lineRule="auto"/>
              <w:jc w:val="right"/>
              <w:rPr>
                <w:rFonts w:ascii="Trebuchet MS" w:eastAsia="Times New Roman" w:hAnsi="Trebuchet MS"/>
                <w:color w:val="000000"/>
                <w:sz w:val="20"/>
                <w:szCs w:val="20"/>
                <w:lang w:eastAsia="fr-FR"/>
              </w:rPr>
            </w:pPr>
          </w:p>
        </w:tc>
        <w:tc>
          <w:tcPr>
            <w:tcW w:w="1150" w:type="dxa"/>
            <w:tcBorders>
              <w:top w:val="single" w:sz="4" w:space="0" w:color="auto"/>
            </w:tcBorders>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1008" w:type="dxa"/>
            <w:tcBorders>
              <w:top w:val="single" w:sz="4" w:space="0" w:color="auto"/>
            </w:tcBorders>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Masculin</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88 663</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10,7</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10,1</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38,1</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2732</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Féminin</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55 586</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663</w:t>
            </w:r>
          </w:p>
        </w:tc>
      </w:tr>
      <w:tr w:rsidR="002B529B" w:rsidRPr="00686FF6" w:rsidTr="002C006A">
        <w:trPr>
          <w:trHeight w:val="273"/>
        </w:trPr>
        <w:tc>
          <w:tcPr>
            <w:tcW w:w="3297" w:type="dxa"/>
            <w:shd w:val="clear" w:color="auto" w:fill="auto"/>
            <w:noWrap/>
            <w:vAlign w:val="bottom"/>
            <w:hideMark/>
          </w:tcPr>
          <w:p w:rsidR="002B529B" w:rsidRPr="002C006A" w:rsidRDefault="002B529B" w:rsidP="002C006A">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Groupe d'âge du CM</w:t>
            </w:r>
          </w:p>
        </w:tc>
        <w:tc>
          <w:tcPr>
            <w:tcW w:w="1576" w:type="dxa"/>
            <w:shd w:val="clear" w:color="auto" w:fill="auto"/>
            <w:noWrap/>
            <w:vAlign w:val="bottom"/>
            <w:hideMark/>
          </w:tcPr>
          <w:p w:rsidR="002B529B" w:rsidRPr="00686FF6" w:rsidRDefault="002B529B" w:rsidP="000D1ABF">
            <w:pPr>
              <w:spacing w:beforeLines="40" w:before="96" w:after="0" w:line="240" w:lineRule="auto"/>
              <w:jc w:val="right"/>
              <w:rPr>
                <w:rFonts w:ascii="Trebuchet MS" w:eastAsia="Times New Roman" w:hAnsi="Trebuchet MS"/>
                <w:color w:val="000000"/>
                <w:sz w:val="20"/>
                <w:szCs w:val="20"/>
                <w:lang w:eastAsia="fr-FR"/>
              </w:rPr>
            </w:pPr>
          </w:p>
        </w:tc>
        <w:tc>
          <w:tcPr>
            <w:tcW w:w="1150" w:type="dxa"/>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1008" w:type="dxa"/>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Moins de 20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38 333</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20-29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60 591</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13,0</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29,5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363</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30-39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79 620</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11,1</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40,7</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5,0</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927</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40-49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91 920</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5,8</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909</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50-59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95 267</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9,7</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34,7</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33,1</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6,8</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599</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60-69 ans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88 503</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11,3</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344</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70 ans et plus</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62 800</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17,5</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10,6</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246</w:t>
            </w:r>
          </w:p>
        </w:tc>
      </w:tr>
      <w:tr w:rsidR="002B529B" w:rsidRPr="00686FF6" w:rsidTr="002C006A">
        <w:trPr>
          <w:trHeight w:val="273"/>
        </w:trPr>
        <w:tc>
          <w:tcPr>
            <w:tcW w:w="3297" w:type="dxa"/>
            <w:shd w:val="clear" w:color="auto" w:fill="auto"/>
            <w:noWrap/>
            <w:vAlign w:val="bottom"/>
            <w:hideMark/>
          </w:tcPr>
          <w:p w:rsidR="002B529B" w:rsidRPr="002C006A" w:rsidRDefault="002B529B" w:rsidP="002C006A">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Niveau d'instruction du CM</w:t>
            </w:r>
          </w:p>
        </w:tc>
        <w:tc>
          <w:tcPr>
            <w:tcW w:w="1576" w:type="dxa"/>
            <w:shd w:val="clear" w:color="auto" w:fill="auto"/>
            <w:noWrap/>
            <w:vAlign w:val="bottom"/>
            <w:hideMark/>
          </w:tcPr>
          <w:p w:rsidR="002B529B" w:rsidRPr="00686FF6" w:rsidRDefault="002B529B" w:rsidP="000D1ABF">
            <w:pPr>
              <w:spacing w:beforeLines="40" w:before="96" w:after="0" w:line="240" w:lineRule="auto"/>
              <w:jc w:val="right"/>
              <w:rPr>
                <w:rFonts w:ascii="Trebuchet MS" w:eastAsia="Times New Roman" w:hAnsi="Trebuchet MS"/>
                <w:color w:val="000000"/>
                <w:sz w:val="20"/>
                <w:szCs w:val="20"/>
                <w:lang w:eastAsia="fr-FR"/>
              </w:rPr>
            </w:pPr>
          </w:p>
        </w:tc>
        <w:tc>
          <w:tcPr>
            <w:tcW w:w="1150" w:type="dxa"/>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1008" w:type="dxa"/>
            <w:shd w:val="clear" w:color="auto" w:fill="auto"/>
            <w:noWrap/>
            <w:vAlign w:val="bottom"/>
            <w:hideMark/>
          </w:tcPr>
          <w:p w:rsidR="00792500" w:rsidRDefault="00792500"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7843E6" w:rsidRDefault="007843E6" w:rsidP="000D1ABF">
            <w:pPr>
              <w:spacing w:beforeLines="40" w:before="96"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Maternelle</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54 300</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37,8</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40,1</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Primaire</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81 938</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12,7</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848</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Secondaire1</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88 366</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15,2</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9,7</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434</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Secondaire2</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105 934</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40,0</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27,4</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15,3</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0,5</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190</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Supérieur</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143 858</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53,9</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0,6</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165</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Aucun</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73 585</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2,1</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36,6</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37,2</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7,8</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6,1</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1494</w:t>
            </w:r>
          </w:p>
        </w:tc>
      </w:tr>
      <w:tr w:rsidR="002B529B" w:rsidRPr="00686FF6" w:rsidTr="002C006A">
        <w:trPr>
          <w:trHeight w:val="273"/>
        </w:trPr>
        <w:tc>
          <w:tcPr>
            <w:tcW w:w="3297" w:type="dxa"/>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Autre</w:t>
            </w:r>
          </w:p>
        </w:tc>
        <w:tc>
          <w:tcPr>
            <w:tcW w:w="1576"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55 452</w:t>
            </w:r>
          </w:p>
        </w:tc>
        <w:tc>
          <w:tcPr>
            <w:tcW w:w="1150" w:type="dxa"/>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08"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64,3</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11,9</w:t>
            </w:r>
          </w:p>
        </w:tc>
        <w:tc>
          <w:tcPr>
            <w:tcW w:w="0" w:type="auto"/>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820"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4,8</w:t>
            </w:r>
          </w:p>
        </w:tc>
        <w:tc>
          <w:tcPr>
            <w:tcW w:w="1071" w:type="dxa"/>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r>
      <w:tr w:rsidR="002B529B" w:rsidRPr="00686FF6" w:rsidTr="002C006A">
        <w:trPr>
          <w:trHeight w:val="273"/>
        </w:trPr>
        <w:tc>
          <w:tcPr>
            <w:tcW w:w="3297" w:type="dxa"/>
            <w:tcBorders>
              <w:bottom w:val="single" w:sz="4" w:space="0" w:color="auto"/>
            </w:tcBorders>
            <w:shd w:val="clear" w:color="auto" w:fill="auto"/>
            <w:noWrap/>
            <w:vAlign w:val="bottom"/>
            <w:hideMark/>
          </w:tcPr>
          <w:p w:rsidR="002B529B" w:rsidRPr="001954BB" w:rsidRDefault="002B529B" w:rsidP="000D1ABF">
            <w:pPr>
              <w:spacing w:beforeLines="40" w:before="96" w:after="0" w:line="240" w:lineRule="auto"/>
              <w:ind w:left="426"/>
              <w:rPr>
                <w:rFonts w:ascii="Trebuchet MS" w:hAnsi="Trebuchet MS"/>
                <w:color w:val="000000"/>
                <w:sz w:val="20"/>
                <w:szCs w:val="20"/>
              </w:rPr>
            </w:pPr>
            <w:r w:rsidRPr="001954BB">
              <w:rPr>
                <w:rFonts w:ascii="Trebuchet MS" w:hAnsi="Trebuchet MS"/>
                <w:color w:val="000000"/>
                <w:sz w:val="20"/>
                <w:szCs w:val="20"/>
              </w:rPr>
              <w:t>NSP</w:t>
            </w:r>
          </w:p>
        </w:tc>
        <w:tc>
          <w:tcPr>
            <w:tcW w:w="1576" w:type="dxa"/>
            <w:tcBorders>
              <w:bottom w:val="single" w:sz="4" w:space="0" w:color="auto"/>
            </w:tcBorders>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66 861</w:t>
            </w:r>
          </w:p>
        </w:tc>
        <w:tc>
          <w:tcPr>
            <w:tcW w:w="1150" w:type="dxa"/>
            <w:tcBorders>
              <w:bottom w:val="single" w:sz="4" w:space="0" w:color="auto"/>
            </w:tcBorders>
            <w:shd w:val="clear" w:color="auto" w:fill="auto"/>
            <w:noWrap/>
            <w:vAlign w:val="bottom"/>
            <w:hideMark/>
          </w:tcPr>
          <w:p w:rsidR="00792500"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1008" w:type="dxa"/>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0" w:type="auto"/>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72,0</w:t>
            </w:r>
          </w:p>
        </w:tc>
        <w:tc>
          <w:tcPr>
            <w:tcW w:w="0" w:type="auto"/>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14,0</w:t>
            </w:r>
          </w:p>
        </w:tc>
        <w:tc>
          <w:tcPr>
            <w:tcW w:w="0" w:type="auto"/>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1071" w:type="dxa"/>
            <w:tcBorders>
              <w:bottom w:val="single" w:sz="4" w:space="0" w:color="auto"/>
            </w:tcBorders>
            <w:shd w:val="clear" w:color="auto" w:fill="auto"/>
            <w:noWrap/>
            <w:vAlign w:val="bottom"/>
            <w:hideMark/>
          </w:tcPr>
          <w:p w:rsidR="007843E6" w:rsidRDefault="002B529B" w:rsidP="000D1ABF">
            <w:pPr>
              <w:spacing w:beforeLines="40" w:before="96"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50</w:t>
            </w:r>
          </w:p>
        </w:tc>
      </w:tr>
      <w:tr w:rsidR="002B529B" w:rsidRPr="00686FF6" w:rsidTr="002C006A">
        <w:trPr>
          <w:trHeight w:val="273"/>
        </w:trPr>
        <w:tc>
          <w:tcPr>
            <w:tcW w:w="3297" w:type="dxa"/>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Branche d'activité</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r>
      <w:tr w:rsidR="002B529B" w:rsidRPr="00686FF6" w:rsidTr="002C006A">
        <w:trPr>
          <w:trHeight w:val="546"/>
        </w:trPr>
        <w:tc>
          <w:tcPr>
            <w:tcW w:w="3297" w:type="dxa"/>
            <w:shd w:val="clear" w:color="auto" w:fill="auto"/>
            <w:vAlign w:val="bottom"/>
            <w:hideMark/>
          </w:tcPr>
          <w:p w:rsidR="002B529B" w:rsidRPr="00686FF6" w:rsidRDefault="002B529B" w:rsidP="00B12BA8">
            <w:pPr>
              <w:spacing w:after="0" w:line="240" w:lineRule="auto"/>
              <w:ind w:leftChars="193" w:left="425"/>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Agriculture Elevage Pêche et Forêt</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76 924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35,3</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39,9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8,4</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1566</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Industrie</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118 414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32,9</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14,1</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Eau, Electricité, Gaz</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91 389</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19,1</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45,2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BTP</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99 320</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10,1</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79</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Commerce et restauration</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93 108</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30,9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2,2</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6,1</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543</w:t>
            </w:r>
          </w:p>
        </w:tc>
      </w:tr>
      <w:tr w:rsidR="002B529B" w:rsidRPr="00686FF6" w:rsidTr="002C006A">
        <w:trPr>
          <w:trHeight w:val="441"/>
        </w:trPr>
        <w:tc>
          <w:tcPr>
            <w:tcW w:w="3297" w:type="dxa"/>
            <w:shd w:val="clear" w:color="auto" w:fill="auto"/>
            <w:vAlign w:val="bottom"/>
            <w:hideMark/>
          </w:tcPr>
          <w:p w:rsidR="002B529B" w:rsidRPr="00686FF6" w:rsidRDefault="002B529B" w:rsidP="00B12BA8">
            <w:pPr>
              <w:spacing w:after="0" w:line="240" w:lineRule="auto"/>
              <w:ind w:leftChars="193" w:left="425"/>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Transports et communications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94 127</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17,5</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2,3</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171</w:t>
            </w:r>
          </w:p>
        </w:tc>
      </w:tr>
      <w:tr w:rsidR="002B529B" w:rsidRPr="00686FF6" w:rsidTr="002C006A">
        <w:trPr>
          <w:trHeight w:val="222"/>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Banques et assurances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183 881</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8,3</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Autres services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76 194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20,9</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6,9</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856</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Non déclaré</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65 556</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51,7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29</w:t>
            </w:r>
          </w:p>
        </w:tc>
      </w:tr>
      <w:tr w:rsidR="002B529B" w:rsidRPr="00686FF6" w:rsidTr="002C006A">
        <w:trPr>
          <w:trHeight w:val="273"/>
        </w:trPr>
        <w:tc>
          <w:tcPr>
            <w:tcW w:w="3297"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Ensemble</w:t>
            </w:r>
          </w:p>
        </w:tc>
        <w:tc>
          <w:tcPr>
            <w:tcW w:w="1576" w:type="dxa"/>
            <w:tcBorders>
              <w:top w:val="single" w:sz="4" w:space="0" w:color="auto"/>
              <w:bottom w:val="double" w:sz="4" w:space="0" w:color="auto"/>
              <w:right w:val="nil"/>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82 274</w:t>
            </w:r>
          </w:p>
        </w:tc>
        <w:tc>
          <w:tcPr>
            <w:tcW w:w="1150" w:type="dxa"/>
            <w:tcBorders>
              <w:top w:val="single" w:sz="4" w:space="0" w:color="auto"/>
              <w:left w:val="nil"/>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9,4</w:t>
            </w:r>
          </w:p>
        </w:tc>
        <w:tc>
          <w:tcPr>
            <w:tcW w:w="1008"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10,2</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37,8</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1,6</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29,8</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5,3</w:t>
            </w:r>
          </w:p>
        </w:tc>
        <w:tc>
          <w:tcPr>
            <w:tcW w:w="820"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6,0</w:t>
            </w:r>
          </w:p>
        </w:tc>
        <w:tc>
          <w:tcPr>
            <w:tcW w:w="1071"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3395</w:t>
            </w:r>
          </w:p>
        </w:tc>
      </w:tr>
      <w:tr w:rsidR="002B529B" w:rsidRPr="00686FF6" w:rsidTr="002C006A">
        <w:trPr>
          <w:trHeight w:val="273"/>
        </w:trPr>
        <w:tc>
          <w:tcPr>
            <w:tcW w:w="12504" w:type="dxa"/>
            <w:gridSpan w:val="10"/>
            <w:tcBorders>
              <w:top w:val="double" w:sz="4" w:space="0" w:color="auto"/>
              <w:bottom w:val="nil"/>
            </w:tcBorders>
            <w:shd w:val="clear" w:color="auto" w:fill="auto"/>
            <w:noWrap/>
            <w:vAlign w:val="bottom"/>
            <w:hideMark/>
          </w:tcPr>
          <w:p w:rsidR="002B529B" w:rsidRPr="00686FF6" w:rsidRDefault="002B529B" w:rsidP="00B12BA8">
            <w:pPr>
              <w:spacing w:after="0" w:line="240" w:lineRule="auto"/>
              <w:rPr>
                <w:rFonts w:ascii="Trebuchet MS" w:eastAsia="Times New Roman" w:hAnsi="Trebuchet MS"/>
                <w:color w:val="000000"/>
                <w:sz w:val="20"/>
                <w:szCs w:val="20"/>
                <w:lang w:eastAsia="fr-FR"/>
              </w:rPr>
            </w:pPr>
            <w:r w:rsidRPr="00F57BAA">
              <w:rPr>
                <w:rFonts w:ascii="Trebuchet MS" w:hAnsi="Trebuchet MS" w:cs="Arial"/>
                <w:bCs/>
                <w:color w:val="000000"/>
              </w:rPr>
              <w:t>Source : ECEB, INSAE, 2015</w:t>
            </w:r>
          </w:p>
        </w:tc>
      </w:tr>
    </w:tbl>
    <w:p w:rsidR="002B529B" w:rsidRDefault="002B529B" w:rsidP="002B529B">
      <w:pPr>
        <w:rPr>
          <w:rFonts w:ascii="Trebuchet MS" w:hAnsi="Trebuchet MS"/>
        </w:rPr>
        <w:sectPr w:rsidR="002B529B" w:rsidSect="006B0A0F">
          <w:pgSz w:w="16838" w:h="11906" w:orient="landscape"/>
          <w:pgMar w:top="1417" w:right="851" w:bottom="1417" w:left="1843" w:header="708" w:footer="0" w:gutter="0"/>
          <w:cols w:space="708"/>
          <w:docGrid w:linePitch="360"/>
        </w:sectPr>
      </w:pPr>
    </w:p>
    <w:p w:rsidR="006B0A0F" w:rsidRPr="00556962" w:rsidRDefault="00556962" w:rsidP="00556962">
      <w:pPr>
        <w:pStyle w:val="Lgende"/>
        <w:spacing w:after="0"/>
        <w:rPr>
          <w:rFonts w:ascii="Trebuchet MS" w:hAnsi="Trebuchet MS"/>
        </w:rPr>
      </w:pPr>
      <w:bookmarkStart w:id="270" w:name="_Toc426359374"/>
      <w:r w:rsidRPr="00556962">
        <w:rPr>
          <w:rFonts w:ascii="Trebuchet MS" w:hAnsi="Trebuchet MS"/>
        </w:rPr>
        <w:t xml:space="preserve">Tableau </w:t>
      </w:r>
      <w:r w:rsidR="00792500" w:rsidRPr="00556962">
        <w:rPr>
          <w:rFonts w:ascii="Trebuchet MS" w:hAnsi="Trebuchet MS"/>
        </w:rPr>
        <w:fldChar w:fldCharType="begin"/>
      </w:r>
      <w:r w:rsidRPr="00556962">
        <w:rPr>
          <w:rFonts w:ascii="Trebuchet MS" w:hAnsi="Trebuchet MS"/>
        </w:rPr>
        <w:instrText xml:space="preserve"> SEQ Tableau \* ARABIC </w:instrText>
      </w:r>
      <w:r w:rsidR="00792500" w:rsidRPr="00556962">
        <w:rPr>
          <w:rFonts w:ascii="Trebuchet MS" w:hAnsi="Trebuchet MS"/>
        </w:rPr>
        <w:fldChar w:fldCharType="separate"/>
      </w:r>
      <w:r w:rsidRPr="00556962">
        <w:rPr>
          <w:rFonts w:ascii="Trebuchet MS" w:hAnsi="Trebuchet MS"/>
          <w:noProof/>
        </w:rPr>
        <w:t>55</w:t>
      </w:r>
      <w:r w:rsidR="00792500" w:rsidRPr="00556962">
        <w:rPr>
          <w:rFonts w:ascii="Trebuchet MS" w:hAnsi="Trebuchet MS"/>
        </w:rPr>
        <w:fldChar w:fldCharType="end"/>
      </w:r>
      <w:r w:rsidRPr="00556962">
        <w:rPr>
          <w:rFonts w:ascii="Trebuchet MS" w:hAnsi="Trebuchet MS"/>
        </w:rPr>
        <w:t xml:space="preserve"> : </w:t>
      </w:r>
      <w:r w:rsidR="004C7E34" w:rsidRPr="00556962">
        <w:rPr>
          <w:rFonts w:ascii="Trebuchet MS" w:hAnsi="Trebuchet MS"/>
        </w:rPr>
        <w:t>Indicateurs sur les délais de raccordement et la consommation d’électricité</w:t>
      </w:r>
      <w:bookmarkEnd w:id="270"/>
    </w:p>
    <w:tbl>
      <w:tblPr>
        <w:tblStyle w:val="ENergiemnage"/>
        <w:tblW w:w="5084" w:type="pct"/>
        <w:tblInd w:w="-601" w:type="dxa"/>
        <w:tblBorders>
          <w:top w:val="double" w:sz="4" w:space="0" w:color="auto"/>
          <w:bottom w:val="double" w:sz="4" w:space="0" w:color="auto"/>
        </w:tblBorders>
        <w:tblLook w:val="04A0" w:firstRow="1" w:lastRow="0" w:firstColumn="1" w:lastColumn="0" w:noHBand="0" w:noVBand="1"/>
      </w:tblPr>
      <w:tblGrid>
        <w:gridCol w:w="1717"/>
        <w:gridCol w:w="1133"/>
        <w:gridCol w:w="1402"/>
        <w:gridCol w:w="1396"/>
        <w:gridCol w:w="1238"/>
        <w:gridCol w:w="1238"/>
        <w:gridCol w:w="1238"/>
        <w:gridCol w:w="1238"/>
        <w:gridCol w:w="1238"/>
        <w:gridCol w:w="1323"/>
        <w:gridCol w:w="1440"/>
      </w:tblGrid>
      <w:tr w:rsidR="00864808" w:rsidRPr="0072397D" w:rsidTr="007B6BC4">
        <w:trPr>
          <w:trHeight w:val="1599"/>
        </w:trPr>
        <w:tc>
          <w:tcPr>
            <w:tcW w:w="588" w:type="pct"/>
            <w:tcBorders>
              <w:top w:val="double" w:sz="4" w:space="0" w:color="auto"/>
              <w:bottom w:val="single" w:sz="4" w:space="0" w:color="auto"/>
            </w:tcBorders>
            <w:noWrap/>
            <w:hideMark/>
          </w:tcPr>
          <w:p w:rsidR="006B0A0F" w:rsidRPr="0072397D" w:rsidRDefault="006B0A0F" w:rsidP="000D1DCC">
            <w:pPr>
              <w:spacing w:after="0" w:line="240" w:lineRule="auto"/>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 xml:space="preserve"> Tranche de </w:t>
            </w:r>
          </w:p>
          <w:p w:rsidR="006B0A0F" w:rsidRPr="0072397D" w:rsidRDefault="006B0A0F" w:rsidP="000D1DCC">
            <w:pPr>
              <w:spacing w:after="0" w:line="240" w:lineRule="auto"/>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revenu</w:t>
            </w:r>
          </w:p>
        </w:tc>
        <w:tc>
          <w:tcPr>
            <w:tcW w:w="388"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semaines entre la demande et l'obtention du devis</w:t>
            </w:r>
          </w:p>
        </w:tc>
        <w:tc>
          <w:tcPr>
            <w:tcW w:w="480"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semaines entre le paiement et le raccordement</w:t>
            </w:r>
          </w:p>
        </w:tc>
        <w:tc>
          <w:tcPr>
            <w:tcW w:w="478"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Durée totale de raccordement (en semaines)</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jours couverts par la dernière facture d'électricité</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minimale d'électricité consommée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d'électricité consommée par mois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maximale d'électricité consommée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annuelle d'électricité consommée par ménage (en KWh)</w:t>
            </w:r>
          </w:p>
        </w:tc>
        <w:tc>
          <w:tcPr>
            <w:tcW w:w="453"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jours de réception de l'électricité par les ménages par mois</w:t>
            </w:r>
          </w:p>
        </w:tc>
        <w:tc>
          <w:tcPr>
            <w:tcW w:w="49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Durée moyenne de réception de l'électricité par les ménages le mois passé (en heures)</w:t>
            </w:r>
          </w:p>
        </w:tc>
      </w:tr>
      <w:tr w:rsidR="00864808" w:rsidRPr="0072397D" w:rsidTr="007B6BC4">
        <w:trPr>
          <w:trHeight w:val="331"/>
        </w:trPr>
        <w:tc>
          <w:tcPr>
            <w:tcW w:w="588" w:type="pct"/>
            <w:tcBorders>
              <w:top w:val="single" w:sz="4" w:space="0" w:color="auto"/>
            </w:tcBorders>
            <w:noWrap/>
            <w:hideMark/>
          </w:tcPr>
          <w:p w:rsidR="006B0A0F" w:rsidRPr="0072397D" w:rsidRDefault="00864808" w:rsidP="00864808">
            <w:pPr>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 xml:space="preserve">Au plus </w:t>
            </w:r>
            <w:r w:rsidR="006B0A0F" w:rsidRPr="0072397D">
              <w:rPr>
                <w:rFonts w:ascii="Trebuchet MS" w:eastAsia="Times New Roman" w:hAnsi="Trebuchet MS" w:cs="Calibri"/>
                <w:color w:val="000000"/>
                <w:sz w:val="20"/>
                <w:szCs w:val="20"/>
                <w:lang w:eastAsia="fr-FR"/>
              </w:rPr>
              <w:t>20000</w:t>
            </w:r>
          </w:p>
        </w:tc>
        <w:tc>
          <w:tcPr>
            <w:tcW w:w="388"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20,6</w:t>
            </w:r>
          </w:p>
        </w:tc>
        <w:tc>
          <w:tcPr>
            <w:tcW w:w="480"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26,4</w:t>
            </w:r>
          </w:p>
        </w:tc>
        <w:tc>
          <w:tcPr>
            <w:tcW w:w="478"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47,0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683</w:t>
            </w:r>
          </w:p>
        </w:tc>
        <w:tc>
          <w:tcPr>
            <w:tcW w:w="453"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]20000-30000]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12,5</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14,0</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115</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925</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]30000-45000]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12,4</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24,2</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36,6</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31,0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984</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]45000-50000]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10,8</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23,7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115</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847</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]50000-60000]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32,7</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45,9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786</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]60000-80000]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13,9</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18,3</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1002</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]80000-100000]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20,6</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11,7</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961</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]100000-130000]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4,9</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9,8</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1485</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]130000-200000]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13,0</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22,8</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35,8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1089</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tcBorders>
              <w:bottom w:val="single" w:sz="4" w:space="0" w:color="auto"/>
            </w:tcBorders>
            <w:noWrap/>
            <w:hideMark/>
          </w:tcPr>
          <w:p w:rsidR="006B0A0F" w:rsidRPr="0072397D" w:rsidRDefault="00864808" w:rsidP="000D1DCC">
            <w:pPr>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 xml:space="preserve">Plus de </w:t>
            </w:r>
            <w:r w:rsidR="006B0A0F" w:rsidRPr="0072397D">
              <w:rPr>
                <w:rFonts w:ascii="Trebuchet MS" w:eastAsia="Times New Roman" w:hAnsi="Trebuchet MS" w:cs="Calibri"/>
                <w:color w:val="000000"/>
                <w:sz w:val="20"/>
                <w:szCs w:val="20"/>
                <w:lang w:eastAsia="fr-FR"/>
              </w:rPr>
              <w:t>200000</w:t>
            </w:r>
          </w:p>
        </w:tc>
        <w:tc>
          <w:tcPr>
            <w:tcW w:w="388"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9,5</w:t>
            </w:r>
          </w:p>
        </w:tc>
        <w:tc>
          <w:tcPr>
            <w:tcW w:w="480"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19,2</w:t>
            </w:r>
          </w:p>
        </w:tc>
        <w:tc>
          <w:tcPr>
            <w:tcW w:w="478"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28,7</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28,4</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89</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118</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186</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1400</w:t>
            </w:r>
          </w:p>
        </w:tc>
        <w:tc>
          <w:tcPr>
            <w:tcW w:w="453"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tcBorders>
              <w:top w:val="single" w:sz="4" w:space="0" w:color="auto"/>
              <w:bottom w:val="double" w:sz="4" w:space="0" w:color="auto"/>
            </w:tcBorders>
            <w:noWrap/>
            <w:hideMark/>
          </w:tcPr>
          <w:p w:rsidR="006B0A0F" w:rsidRPr="007B6BC4" w:rsidRDefault="006B0A0F" w:rsidP="000D1DCC">
            <w:pPr>
              <w:spacing w:after="0" w:line="240" w:lineRule="auto"/>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Ensemble</w:t>
            </w:r>
          </w:p>
        </w:tc>
        <w:tc>
          <w:tcPr>
            <w:tcW w:w="388"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13,8</w:t>
            </w:r>
          </w:p>
        </w:tc>
        <w:tc>
          <w:tcPr>
            <w:tcW w:w="480"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18,4</w:t>
            </w:r>
          </w:p>
        </w:tc>
        <w:tc>
          <w:tcPr>
            <w:tcW w:w="478"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32,2</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29,9</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57</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84</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142</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1045</w:t>
            </w:r>
          </w:p>
        </w:tc>
        <w:tc>
          <w:tcPr>
            <w:tcW w:w="453"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25</w:t>
            </w:r>
          </w:p>
        </w:tc>
        <w:tc>
          <w:tcPr>
            <w:tcW w:w="49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18</w:t>
            </w:r>
          </w:p>
        </w:tc>
      </w:tr>
    </w:tbl>
    <w:p w:rsidR="006B0A0F" w:rsidRPr="0072397D" w:rsidRDefault="006B0A0F" w:rsidP="00B25C5C">
      <w:pPr>
        <w:tabs>
          <w:tab w:val="right" w:pos="9072"/>
        </w:tabs>
        <w:jc w:val="both"/>
        <w:rPr>
          <w:rFonts w:ascii="Trebuchet MS" w:hAnsi="Trebuchet MS"/>
          <w:b/>
          <w:sz w:val="24"/>
          <w:szCs w:val="24"/>
        </w:rPr>
      </w:pPr>
    </w:p>
    <w:p w:rsidR="006B0A0F" w:rsidRPr="0072397D" w:rsidRDefault="006B0A0F" w:rsidP="00B25C5C">
      <w:pPr>
        <w:tabs>
          <w:tab w:val="right" w:pos="9072"/>
        </w:tabs>
        <w:jc w:val="both"/>
        <w:rPr>
          <w:rFonts w:ascii="Trebuchet MS" w:hAnsi="Trebuchet MS"/>
          <w:b/>
          <w:sz w:val="24"/>
          <w:szCs w:val="24"/>
        </w:rPr>
      </w:pPr>
    </w:p>
    <w:p w:rsidR="006B0A0F" w:rsidRPr="0072397D" w:rsidRDefault="006B0A0F" w:rsidP="00B25C5C">
      <w:pPr>
        <w:tabs>
          <w:tab w:val="right" w:pos="9072"/>
        </w:tabs>
        <w:jc w:val="both"/>
        <w:rPr>
          <w:rFonts w:ascii="Trebuchet MS" w:hAnsi="Trebuchet MS"/>
          <w:b/>
          <w:sz w:val="24"/>
          <w:szCs w:val="24"/>
        </w:rPr>
        <w:sectPr w:rsidR="006B0A0F" w:rsidRPr="0072397D" w:rsidSect="006B0A0F">
          <w:pgSz w:w="16838" w:h="11906" w:orient="landscape"/>
          <w:pgMar w:top="1417" w:right="851" w:bottom="1417" w:left="1843" w:header="708" w:footer="0" w:gutter="0"/>
          <w:cols w:space="708"/>
          <w:docGrid w:linePitch="360"/>
        </w:sectPr>
      </w:pPr>
    </w:p>
    <w:p w:rsidR="006B0A0F" w:rsidRPr="0072397D" w:rsidRDefault="006B0A0F" w:rsidP="00B25C5C">
      <w:pPr>
        <w:tabs>
          <w:tab w:val="right" w:pos="9072"/>
        </w:tabs>
        <w:jc w:val="both"/>
        <w:rPr>
          <w:rFonts w:ascii="Trebuchet MS" w:hAnsi="Trebuchet MS"/>
          <w:b/>
          <w:sz w:val="24"/>
          <w:szCs w:val="24"/>
        </w:rPr>
      </w:pPr>
    </w:p>
    <w:p w:rsidR="008B6C87" w:rsidRPr="00E32B0F" w:rsidRDefault="00E32B0F" w:rsidP="00E32B0F">
      <w:pPr>
        <w:pStyle w:val="Lgende"/>
        <w:spacing w:after="0"/>
        <w:rPr>
          <w:rFonts w:ascii="Trebuchet MS" w:hAnsi="Trebuchet MS"/>
        </w:rPr>
      </w:pPr>
      <w:bookmarkStart w:id="271" w:name="_Toc426359375"/>
      <w:r w:rsidRPr="00E32B0F">
        <w:rPr>
          <w:rFonts w:ascii="Trebuchet MS" w:hAnsi="Trebuchet MS"/>
        </w:rPr>
        <w:t xml:space="preserve">Tableau </w:t>
      </w:r>
      <w:r w:rsidR="00792500" w:rsidRPr="00E32B0F">
        <w:rPr>
          <w:rFonts w:ascii="Trebuchet MS" w:hAnsi="Trebuchet MS"/>
        </w:rPr>
        <w:fldChar w:fldCharType="begin"/>
      </w:r>
      <w:r w:rsidRPr="00E32B0F">
        <w:rPr>
          <w:rFonts w:ascii="Trebuchet MS" w:hAnsi="Trebuchet MS"/>
        </w:rPr>
        <w:instrText xml:space="preserve"> SEQ Tableau \* ARABIC </w:instrText>
      </w:r>
      <w:r w:rsidR="00792500" w:rsidRPr="00E32B0F">
        <w:rPr>
          <w:rFonts w:ascii="Trebuchet MS" w:hAnsi="Trebuchet MS"/>
        </w:rPr>
        <w:fldChar w:fldCharType="separate"/>
      </w:r>
      <w:r w:rsidR="00556962">
        <w:rPr>
          <w:rFonts w:ascii="Trebuchet MS" w:hAnsi="Trebuchet MS"/>
          <w:noProof/>
        </w:rPr>
        <w:t>56</w:t>
      </w:r>
      <w:r w:rsidR="00792500" w:rsidRPr="00E32B0F">
        <w:rPr>
          <w:rFonts w:ascii="Trebuchet MS" w:hAnsi="Trebuchet MS"/>
        </w:rPr>
        <w:fldChar w:fldCharType="end"/>
      </w:r>
      <w:r w:rsidRPr="00E32B0F">
        <w:rPr>
          <w:rFonts w:ascii="Trebuchet MS" w:hAnsi="Trebuchet MS"/>
        </w:rPr>
        <w:t xml:space="preserve"> : </w:t>
      </w:r>
      <w:r w:rsidR="003B0751" w:rsidRPr="00E32B0F">
        <w:rPr>
          <w:rFonts w:ascii="Trebuchet MS" w:hAnsi="Trebuchet MS"/>
        </w:rPr>
        <w:t>Dernier mois de facture reçu dans le ménage</w:t>
      </w:r>
      <w:bookmarkEnd w:id="271"/>
    </w:p>
    <w:tbl>
      <w:tblPr>
        <w:tblStyle w:val="ENergiemnage"/>
        <w:tblW w:w="4676" w:type="dxa"/>
        <w:tblBorders>
          <w:top w:val="double" w:sz="4" w:space="0" w:color="auto"/>
          <w:bottom w:val="double" w:sz="4" w:space="0" w:color="auto"/>
        </w:tblBorders>
        <w:tblLook w:val="04A0" w:firstRow="1" w:lastRow="0" w:firstColumn="1" w:lastColumn="0" w:noHBand="0" w:noVBand="1"/>
      </w:tblPr>
      <w:tblGrid>
        <w:gridCol w:w="2800"/>
        <w:gridCol w:w="908"/>
        <w:gridCol w:w="977"/>
      </w:tblGrid>
      <w:tr w:rsidR="008B6C87" w:rsidRPr="00E32B0F" w:rsidTr="00D6252A">
        <w:trPr>
          <w:trHeight w:val="300"/>
        </w:trPr>
        <w:tc>
          <w:tcPr>
            <w:tcW w:w="2800" w:type="dxa"/>
            <w:tcBorders>
              <w:top w:val="double" w:sz="4" w:space="0" w:color="auto"/>
              <w:bottom w:val="single" w:sz="4" w:space="0" w:color="auto"/>
            </w:tcBorders>
            <w:noWrap/>
            <w:hideMark/>
          </w:tcPr>
          <w:p w:rsidR="008B6C87" w:rsidRPr="00E32B0F" w:rsidRDefault="008B6C87" w:rsidP="008B6C87">
            <w:pPr>
              <w:spacing w:after="0" w:line="240" w:lineRule="auto"/>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Dernier mois de facture reçu</w:t>
            </w:r>
          </w:p>
        </w:tc>
        <w:tc>
          <w:tcPr>
            <w:tcW w:w="899" w:type="dxa"/>
            <w:tcBorders>
              <w:top w:val="double" w:sz="4" w:space="0" w:color="auto"/>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Effectif</w:t>
            </w:r>
          </w:p>
        </w:tc>
        <w:tc>
          <w:tcPr>
            <w:tcW w:w="977" w:type="dxa"/>
            <w:tcBorders>
              <w:top w:val="double" w:sz="4" w:space="0" w:color="auto"/>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Part (%)</w:t>
            </w:r>
          </w:p>
        </w:tc>
      </w:tr>
      <w:tr w:rsidR="008B6C87" w:rsidRPr="00E32B0F" w:rsidTr="00D6252A">
        <w:trPr>
          <w:trHeight w:val="300"/>
        </w:trPr>
        <w:tc>
          <w:tcPr>
            <w:tcW w:w="2800" w:type="dxa"/>
            <w:tcBorders>
              <w:top w:val="sing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Janvier</w:t>
            </w:r>
          </w:p>
        </w:tc>
        <w:tc>
          <w:tcPr>
            <w:tcW w:w="899" w:type="dxa"/>
            <w:tcBorders>
              <w:top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306</w:t>
            </w:r>
          </w:p>
        </w:tc>
        <w:tc>
          <w:tcPr>
            <w:tcW w:w="977" w:type="dxa"/>
            <w:tcBorders>
              <w:top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23,1</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Février</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67</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5,1</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Mars</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2</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0,2</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Avril</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0,5</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Mai</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0,3</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Juin</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3</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0,2</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Juillet</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0,3</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Aout</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0,4</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Septembre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13</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1,0</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Octobre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12</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0,9</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Novembre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60</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4,5</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Décembre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679</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51,3</w:t>
            </w:r>
          </w:p>
        </w:tc>
      </w:tr>
      <w:tr w:rsidR="008B6C87" w:rsidRPr="00E32B0F" w:rsidTr="00D6252A">
        <w:trPr>
          <w:trHeight w:val="300"/>
        </w:trPr>
        <w:tc>
          <w:tcPr>
            <w:tcW w:w="2800" w:type="dxa"/>
            <w:tcBorders>
              <w:bottom w:val="sing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Non déclaré</w:t>
            </w:r>
          </w:p>
        </w:tc>
        <w:tc>
          <w:tcPr>
            <w:tcW w:w="899" w:type="dxa"/>
            <w:tcBorders>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164</w:t>
            </w:r>
          </w:p>
        </w:tc>
        <w:tc>
          <w:tcPr>
            <w:tcW w:w="977" w:type="dxa"/>
            <w:tcBorders>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12,4</w:t>
            </w:r>
          </w:p>
        </w:tc>
      </w:tr>
      <w:tr w:rsidR="008B6C87" w:rsidRPr="00E32B0F" w:rsidTr="00D6252A">
        <w:trPr>
          <w:trHeight w:val="300"/>
        </w:trPr>
        <w:tc>
          <w:tcPr>
            <w:tcW w:w="2800" w:type="dxa"/>
            <w:tcBorders>
              <w:top w:val="single" w:sz="4" w:space="0" w:color="auto"/>
              <w:bottom w:val="doub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Total</w:t>
            </w:r>
          </w:p>
        </w:tc>
        <w:tc>
          <w:tcPr>
            <w:tcW w:w="899" w:type="dxa"/>
            <w:tcBorders>
              <w:top w:val="single" w:sz="4" w:space="0" w:color="auto"/>
              <w:bottom w:val="doub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1325</w:t>
            </w:r>
          </w:p>
        </w:tc>
        <w:tc>
          <w:tcPr>
            <w:tcW w:w="977" w:type="dxa"/>
            <w:tcBorders>
              <w:top w:val="single" w:sz="4" w:space="0" w:color="auto"/>
              <w:bottom w:val="doub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100,0</w:t>
            </w:r>
          </w:p>
        </w:tc>
      </w:tr>
    </w:tbl>
    <w:p w:rsidR="008B6C87" w:rsidRPr="0072397D" w:rsidRDefault="008B6C87" w:rsidP="00B25C5C">
      <w:pPr>
        <w:tabs>
          <w:tab w:val="right" w:pos="9072"/>
        </w:tabs>
        <w:jc w:val="both"/>
        <w:rPr>
          <w:rFonts w:ascii="Trebuchet MS" w:hAnsi="Trebuchet MS"/>
          <w:b/>
          <w:sz w:val="24"/>
          <w:szCs w:val="24"/>
        </w:rPr>
      </w:pPr>
    </w:p>
    <w:p w:rsidR="00CF387F" w:rsidRPr="00AF1B60" w:rsidRDefault="00AF1B60" w:rsidP="00AF1B60">
      <w:pPr>
        <w:pStyle w:val="Lgende"/>
        <w:spacing w:after="0"/>
        <w:rPr>
          <w:rFonts w:ascii="Trebuchet MS" w:hAnsi="Trebuchet MS"/>
          <w:sz w:val="24"/>
          <w:szCs w:val="24"/>
        </w:rPr>
      </w:pPr>
      <w:bookmarkStart w:id="272" w:name="_Toc426359376"/>
      <w:r w:rsidRPr="00AF1B60">
        <w:rPr>
          <w:rFonts w:ascii="Trebuchet MS" w:hAnsi="Trebuchet MS"/>
        </w:rPr>
        <w:t xml:space="preserve">Tableau </w:t>
      </w:r>
      <w:r w:rsidR="00792500" w:rsidRPr="00AF1B60">
        <w:rPr>
          <w:rFonts w:ascii="Trebuchet MS" w:hAnsi="Trebuchet MS"/>
        </w:rPr>
        <w:fldChar w:fldCharType="begin"/>
      </w:r>
      <w:r w:rsidRPr="00AF1B60">
        <w:rPr>
          <w:rFonts w:ascii="Trebuchet MS" w:hAnsi="Trebuchet MS"/>
        </w:rPr>
        <w:instrText xml:space="preserve"> SEQ Tableau \* ARABIC </w:instrText>
      </w:r>
      <w:r w:rsidR="00792500" w:rsidRPr="00AF1B60">
        <w:rPr>
          <w:rFonts w:ascii="Trebuchet MS" w:hAnsi="Trebuchet MS"/>
        </w:rPr>
        <w:fldChar w:fldCharType="separate"/>
      </w:r>
      <w:r w:rsidR="00556962">
        <w:rPr>
          <w:rFonts w:ascii="Trebuchet MS" w:hAnsi="Trebuchet MS"/>
          <w:noProof/>
        </w:rPr>
        <w:t>57</w:t>
      </w:r>
      <w:r w:rsidR="00792500" w:rsidRPr="00AF1B60">
        <w:rPr>
          <w:rFonts w:ascii="Trebuchet MS" w:hAnsi="Trebuchet MS"/>
        </w:rPr>
        <w:fldChar w:fldCharType="end"/>
      </w:r>
      <w:r w:rsidRPr="00AF1B60">
        <w:rPr>
          <w:rFonts w:ascii="Trebuchet MS" w:hAnsi="Trebuchet MS"/>
        </w:rPr>
        <w:t xml:space="preserve"> : </w:t>
      </w:r>
      <w:r w:rsidR="0069454D" w:rsidRPr="00AF1B60">
        <w:rPr>
          <w:rFonts w:ascii="Trebuchet MS" w:eastAsia="Times New Roman" w:hAnsi="Trebuchet MS" w:cs="Calibri"/>
          <w:bCs w:val="0"/>
          <w:color w:val="000000"/>
          <w:lang w:eastAsia="fr-FR"/>
        </w:rPr>
        <w:t>Autres modes de paiement des factures par le ménage</w:t>
      </w:r>
      <w:bookmarkEnd w:id="272"/>
    </w:p>
    <w:tbl>
      <w:tblPr>
        <w:tblStyle w:val="ENergiemnage"/>
        <w:tblW w:w="6518" w:type="dxa"/>
        <w:tblLook w:val="04A0" w:firstRow="1" w:lastRow="0" w:firstColumn="1" w:lastColumn="0" w:noHBand="0" w:noVBand="1"/>
      </w:tblPr>
      <w:tblGrid>
        <w:gridCol w:w="4579"/>
        <w:gridCol w:w="949"/>
        <w:gridCol w:w="990"/>
      </w:tblGrid>
      <w:tr w:rsidR="00CF387F" w:rsidRPr="0072397D" w:rsidTr="00A31CFB">
        <w:trPr>
          <w:trHeight w:val="286"/>
        </w:trPr>
        <w:tc>
          <w:tcPr>
            <w:tcW w:w="4579" w:type="dxa"/>
            <w:tcBorders>
              <w:top w:val="double" w:sz="4" w:space="0" w:color="auto"/>
              <w:bottom w:val="single" w:sz="4" w:space="0" w:color="auto"/>
            </w:tcBorders>
            <w:noWrap/>
            <w:hideMark/>
          </w:tcPr>
          <w:p w:rsidR="00CF387F" w:rsidRPr="0072397D" w:rsidRDefault="0069454D" w:rsidP="0069454D">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 xml:space="preserve">Libellé des modes </w:t>
            </w:r>
            <w:r w:rsidR="00CF387F" w:rsidRPr="0072397D">
              <w:rPr>
                <w:rFonts w:ascii="Trebuchet MS" w:eastAsia="Times New Roman" w:hAnsi="Trebuchet MS" w:cs="Calibri"/>
                <w:b/>
                <w:bCs/>
                <w:color w:val="000000"/>
                <w:sz w:val="20"/>
                <w:szCs w:val="20"/>
                <w:lang w:eastAsia="fr-FR"/>
              </w:rPr>
              <w:t xml:space="preserve">de paiement de factures </w:t>
            </w:r>
          </w:p>
        </w:tc>
        <w:tc>
          <w:tcPr>
            <w:tcW w:w="949" w:type="dxa"/>
            <w:tcBorders>
              <w:top w:val="double" w:sz="4" w:space="0" w:color="auto"/>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F387F" w:rsidRPr="0072397D" w:rsidTr="00A31CFB">
        <w:trPr>
          <w:trHeight w:val="286"/>
        </w:trPr>
        <w:tc>
          <w:tcPr>
            <w:tcW w:w="4579" w:type="dxa"/>
            <w:tcBorders>
              <w:top w:val="sing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 PAR AMPOULE</w:t>
            </w:r>
          </w:p>
        </w:tc>
        <w:tc>
          <w:tcPr>
            <w:tcW w:w="949" w:type="dxa"/>
            <w:tcBorders>
              <w:top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990" w:type="dxa"/>
            <w:tcBorders>
              <w:top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7,4</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3500 PAR MOIS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CHAQUE FIN DU MOIS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COMPLETE SI INSUFFIS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DECOMPTEUR</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DECOMPTEUR (150/KW)</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DIVISION PAR 6</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DON D'UNE AMPOULE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GRATUITEMENT</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MAIN à MAIN</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PAIE PAS DE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PAYE PAS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PAYE PAS DE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PAIEMENT MENSUEL</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 AMPOULE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7,4</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PARTAGE DU MONTANT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22,2</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PARTAGE DU COURANT</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PAYE PAR LE CHEF</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PAYER PAR SON PERE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tcBorders>
              <w:bottom w:val="sing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SUPPORTE PAR ENFANT</w:t>
            </w:r>
          </w:p>
        </w:tc>
        <w:tc>
          <w:tcPr>
            <w:tcW w:w="949" w:type="dxa"/>
            <w:tcBorders>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tcBorders>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tcBorders>
              <w:top w:val="single" w:sz="4" w:space="0" w:color="auto"/>
              <w:bottom w:val="doub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w:t>
            </w:r>
          </w:p>
        </w:tc>
        <w:tc>
          <w:tcPr>
            <w:tcW w:w="990" w:type="dxa"/>
            <w:tcBorders>
              <w:top w:val="single" w:sz="4" w:space="0" w:color="auto"/>
              <w:bottom w:val="doub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8B6C87" w:rsidRPr="0072397D" w:rsidRDefault="008B6C87" w:rsidP="00B25C5C">
      <w:pPr>
        <w:tabs>
          <w:tab w:val="right" w:pos="9072"/>
        </w:tabs>
        <w:jc w:val="both"/>
        <w:rPr>
          <w:rFonts w:ascii="Trebuchet MS" w:hAnsi="Trebuchet MS"/>
          <w:b/>
          <w:sz w:val="24"/>
          <w:szCs w:val="24"/>
        </w:rPr>
      </w:pPr>
    </w:p>
    <w:p w:rsidR="008B6C87" w:rsidRPr="0072397D" w:rsidRDefault="008B6C87" w:rsidP="00B25C5C">
      <w:pPr>
        <w:tabs>
          <w:tab w:val="right" w:pos="9072"/>
        </w:tabs>
        <w:jc w:val="both"/>
        <w:rPr>
          <w:rFonts w:ascii="Trebuchet MS" w:hAnsi="Trebuchet MS"/>
          <w:b/>
          <w:sz w:val="24"/>
          <w:szCs w:val="24"/>
        </w:rPr>
      </w:pPr>
    </w:p>
    <w:p w:rsidR="00296A55" w:rsidRPr="0072397D" w:rsidRDefault="00296A55" w:rsidP="00B25C5C">
      <w:pPr>
        <w:tabs>
          <w:tab w:val="right" w:pos="9072"/>
        </w:tabs>
        <w:jc w:val="both"/>
        <w:rPr>
          <w:rFonts w:ascii="Trebuchet MS" w:hAnsi="Trebuchet MS"/>
          <w:b/>
          <w:sz w:val="24"/>
          <w:szCs w:val="24"/>
        </w:rPr>
      </w:pPr>
    </w:p>
    <w:p w:rsidR="008B6C87" w:rsidRPr="00A31CFB" w:rsidRDefault="00A31CFB" w:rsidP="00A31CFB">
      <w:pPr>
        <w:pStyle w:val="Lgende"/>
        <w:spacing w:after="0"/>
        <w:rPr>
          <w:rFonts w:ascii="Trebuchet MS" w:hAnsi="Trebuchet MS"/>
          <w:sz w:val="24"/>
          <w:szCs w:val="24"/>
        </w:rPr>
      </w:pPr>
      <w:bookmarkStart w:id="273" w:name="_Toc426359377"/>
      <w:r w:rsidRPr="00A31CFB">
        <w:rPr>
          <w:rFonts w:ascii="Trebuchet MS" w:hAnsi="Trebuchet MS"/>
        </w:rPr>
        <w:t xml:space="preserve">Tableau </w:t>
      </w:r>
      <w:r w:rsidR="00792500" w:rsidRPr="00A31CFB">
        <w:rPr>
          <w:rFonts w:ascii="Trebuchet MS" w:hAnsi="Trebuchet MS"/>
        </w:rPr>
        <w:fldChar w:fldCharType="begin"/>
      </w:r>
      <w:r w:rsidRPr="00A31CFB">
        <w:rPr>
          <w:rFonts w:ascii="Trebuchet MS" w:hAnsi="Trebuchet MS"/>
        </w:rPr>
        <w:instrText xml:space="preserve"> SEQ Tableau \* ARABIC </w:instrText>
      </w:r>
      <w:r w:rsidR="00792500" w:rsidRPr="00A31CFB">
        <w:rPr>
          <w:rFonts w:ascii="Trebuchet MS" w:hAnsi="Trebuchet MS"/>
        </w:rPr>
        <w:fldChar w:fldCharType="separate"/>
      </w:r>
      <w:r w:rsidR="00556962">
        <w:rPr>
          <w:rFonts w:ascii="Trebuchet MS" w:hAnsi="Trebuchet MS"/>
          <w:noProof/>
        </w:rPr>
        <w:t>58</w:t>
      </w:r>
      <w:r w:rsidR="00792500"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Premières causes de coupure</w:t>
      </w:r>
      <w:bookmarkEnd w:id="273"/>
    </w:p>
    <w:tbl>
      <w:tblPr>
        <w:tblStyle w:val="ENergiemnage"/>
        <w:tblW w:w="5470" w:type="dxa"/>
        <w:tblLook w:val="04A0" w:firstRow="1" w:lastRow="0" w:firstColumn="1" w:lastColumn="0" w:noHBand="0" w:noVBand="1"/>
      </w:tblPr>
      <w:tblGrid>
        <w:gridCol w:w="3070"/>
        <w:gridCol w:w="1200"/>
        <w:gridCol w:w="1200"/>
      </w:tblGrid>
      <w:tr w:rsidR="008C38A0" w:rsidRPr="0072397D" w:rsidTr="00A31CFB">
        <w:trPr>
          <w:trHeight w:val="300"/>
        </w:trPr>
        <w:tc>
          <w:tcPr>
            <w:tcW w:w="3070" w:type="dxa"/>
            <w:tcBorders>
              <w:top w:val="double" w:sz="4" w:space="0" w:color="auto"/>
              <w:bottom w:val="single" w:sz="4" w:space="0" w:color="auto"/>
            </w:tcBorders>
            <w:noWrap/>
            <w:hideMark/>
          </w:tcPr>
          <w:p w:rsidR="008C38A0" w:rsidRPr="0072397D" w:rsidRDefault="00CA3A4D" w:rsidP="008C38A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8C38A0" w:rsidRPr="0072397D" w:rsidTr="00A31CFB">
        <w:trPr>
          <w:trHeight w:val="300"/>
        </w:trPr>
        <w:tc>
          <w:tcPr>
            <w:tcW w:w="3070" w:type="dxa"/>
            <w:tcBorders>
              <w:top w:val="sing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368</w:t>
            </w:r>
          </w:p>
        </w:tc>
        <w:tc>
          <w:tcPr>
            <w:tcW w:w="1200" w:type="dxa"/>
            <w:tcBorders>
              <w:top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27,77</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345</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26,04</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177</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13,36</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189</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14,26</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2,72</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174</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13,13</w:t>
            </w:r>
          </w:p>
        </w:tc>
      </w:tr>
      <w:tr w:rsidR="008C38A0" w:rsidRPr="0072397D" w:rsidTr="00A31CFB">
        <w:trPr>
          <w:trHeight w:val="300"/>
        </w:trPr>
        <w:tc>
          <w:tcPr>
            <w:tcW w:w="3070" w:type="dxa"/>
            <w:tcBorders>
              <w:bottom w:val="sing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w:t>
            </w:r>
          </w:p>
        </w:tc>
        <w:tc>
          <w:tcPr>
            <w:tcW w:w="1200" w:type="dxa"/>
            <w:tcBorders>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2,72</w:t>
            </w:r>
          </w:p>
        </w:tc>
      </w:tr>
      <w:tr w:rsidR="008C38A0" w:rsidRPr="0072397D" w:rsidTr="00A31CFB">
        <w:trPr>
          <w:trHeight w:val="300"/>
        </w:trPr>
        <w:tc>
          <w:tcPr>
            <w:tcW w:w="3070" w:type="dxa"/>
            <w:tcBorders>
              <w:top w:val="single" w:sz="4" w:space="0" w:color="auto"/>
              <w:bottom w:val="doub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A31CFB" w:rsidRDefault="00A31CFB" w:rsidP="00A31CFB">
      <w:pPr>
        <w:pStyle w:val="Lgende"/>
        <w:spacing w:after="0"/>
        <w:rPr>
          <w:rFonts w:ascii="Trebuchet MS" w:eastAsia="Times New Roman" w:hAnsi="Trebuchet MS" w:cs="Calibri"/>
          <w:bCs w:val="0"/>
          <w:color w:val="000000"/>
          <w:lang w:eastAsia="fr-FR"/>
        </w:rPr>
      </w:pPr>
      <w:bookmarkStart w:id="274" w:name="_Toc426359378"/>
      <w:r w:rsidRPr="00A31CFB">
        <w:rPr>
          <w:rFonts w:ascii="Trebuchet MS" w:hAnsi="Trebuchet MS"/>
        </w:rPr>
        <w:t xml:space="preserve">Tableau </w:t>
      </w:r>
      <w:r w:rsidR="00792500" w:rsidRPr="00A31CFB">
        <w:rPr>
          <w:rFonts w:ascii="Trebuchet MS" w:hAnsi="Trebuchet MS"/>
        </w:rPr>
        <w:fldChar w:fldCharType="begin"/>
      </w:r>
      <w:r w:rsidRPr="00A31CFB">
        <w:rPr>
          <w:rFonts w:ascii="Trebuchet MS" w:hAnsi="Trebuchet MS"/>
        </w:rPr>
        <w:instrText xml:space="preserve"> SEQ Tableau \* ARABIC </w:instrText>
      </w:r>
      <w:r w:rsidR="00792500" w:rsidRPr="00A31CFB">
        <w:rPr>
          <w:rFonts w:ascii="Trebuchet MS" w:hAnsi="Trebuchet MS"/>
        </w:rPr>
        <w:fldChar w:fldCharType="separate"/>
      </w:r>
      <w:r w:rsidR="00556962">
        <w:rPr>
          <w:rFonts w:ascii="Trebuchet MS" w:hAnsi="Trebuchet MS"/>
          <w:noProof/>
        </w:rPr>
        <w:t>59</w:t>
      </w:r>
      <w:r w:rsidR="00792500"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Deuxièmes causes de coupure</w:t>
      </w:r>
      <w:bookmarkEnd w:id="274"/>
    </w:p>
    <w:tbl>
      <w:tblPr>
        <w:tblStyle w:val="ENergiemnage"/>
        <w:tblW w:w="5470" w:type="dxa"/>
        <w:tblLook w:val="04A0" w:firstRow="1" w:lastRow="0" w:firstColumn="1" w:lastColumn="0" w:noHBand="0" w:noVBand="1"/>
      </w:tblPr>
      <w:tblGrid>
        <w:gridCol w:w="3070"/>
        <w:gridCol w:w="1200"/>
        <w:gridCol w:w="1200"/>
      </w:tblGrid>
      <w:tr w:rsidR="00CA3A4D" w:rsidRPr="0072397D" w:rsidTr="00A12174">
        <w:trPr>
          <w:trHeight w:val="300"/>
        </w:trPr>
        <w:tc>
          <w:tcPr>
            <w:tcW w:w="3070" w:type="dxa"/>
            <w:tcBorders>
              <w:top w:val="double" w:sz="4" w:space="0" w:color="auto"/>
              <w:bottom w:val="single" w:sz="4" w:space="0" w:color="auto"/>
            </w:tcBorders>
            <w:noWrap/>
          </w:tcPr>
          <w:p w:rsidR="00CA3A4D" w:rsidRPr="0072397D" w:rsidRDefault="00CA3A4D" w:rsidP="00954A9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A3A4D" w:rsidRPr="0072397D" w:rsidTr="00A12174">
        <w:trPr>
          <w:trHeight w:val="300"/>
        </w:trPr>
        <w:tc>
          <w:tcPr>
            <w:tcW w:w="3070" w:type="dxa"/>
            <w:tcBorders>
              <w:top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126</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9,51</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401</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30,26</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246</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18,57</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11,7</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5,06</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169</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12,75</w:t>
            </w:r>
          </w:p>
        </w:tc>
      </w:tr>
      <w:tr w:rsidR="00CA3A4D" w:rsidRPr="0072397D" w:rsidTr="00A12174">
        <w:trPr>
          <w:trHeight w:val="300"/>
        </w:trPr>
        <w:tc>
          <w:tcPr>
            <w:tcW w:w="3070" w:type="dxa"/>
            <w:tcBorders>
              <w:bottom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161</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12,15</w:t>
            </w:r>
          </w:p>
        </w:tc>
      </w:tr>
      <w:tr w:rsidR="00CA3A4D" w:rsidRPr="0072397D" w:rsidTr="00A12174">
        <w:trPr>
          <w:trHeight w:val="300"/>
        </w:trPr>
        <w:tc>
          <w:tcPr>
            <w:tcW w:w="3070" w:type="dxa"/>
            <w:tcBorders>
              <w:top w:val="single" w:sz="4" w:space="0" w:color="auto"/>
              <w:bottom w:val="doub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A31CFB" w:rsidRDefault="00A31CFB" w:rsidP="00A31CFB">
      <w:pPr>
        <w:pStyle w:val="Lgende"/>
        <w:spacing w:after="0"/>
        <w:rPr>
          <w:rFonts w:ascii="Trebuchet MS" w:eastAsia="Times New Roman" w:hAnsi="Trebuchet MS" w:cs="Calibri"/>
          <w:bCs w:val="0"/>
          <w:color w:val="000000"/>
          <w:lang w:eastAsia="fr-FR"/>
        </w:rPr>
      </w:pPr>
      <w:bookmarkStart w:id="275" w:name="_Toc426359379"/>
      <w:r w:rsidRPr="00A31CFB">
        <w:rPr>
          <w:rFonts w:ascii="Trebuchet MS" w:hAnsi="Trebuchet MS"/>
        </w:rPr>
        <w:t xml:space="preserve">Tableau </w:t>
      </w:r>
      <w:r w:rsidR="00792500" w:rsidRPr="00A31CFB">
        <w:rPr>
          <w:rFonts w:ascii="Trebuchet MS" w:hAnsi="Trebuchet MS"/>
        </w:rPr>
        <w:fldChar w:fldCharType="begin"/>
      </w:r>
      <w:r w:rsidRPr="00A31CFB">
        <w:rPr>
          <w:rFonts w:ascii="Trebuchet MS" w:hAnsi="Trebuchet MS"/>
        </w:rPr>
        <w:instrText xml:space="preserve"> SEQ Tableau \* ARABIC </w:instrText>
      </w:r>
      <w:r w:rsidR="00792500" w:rsidRPr="00A31CFB">
        <w:rPr>
          <w:rFonts w:ascii="Trebuchet MS" w:hAnsi="Trebuchet MS"/>
        </w:rPr>
        <w:fldChar w:fldCharType="separate"/>
      </w:r>
      <w:r w:rsidR="00556962">
        <w:rPr>
          <w:rFonts w:ascii="Trebuchet MS" w:hAnsi="Trebuchet MS"/>
          <w:noProof/>
        </w:rPr>
        <w:t>60</w:t>
      </w:r>
      <w:r w:rsidR="00792500"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Troisièmes causes de coupures</w:t>
      </w:r>
      <w:bookmarkEnd w:id="275"/>
    </w:p>
    <w:tbl>
      <w:tblPr>
        <w:tblStyle w:val="ENergiemnage"/>
        <w:tblW w:w="5470" w:type="dxa"/>
        <w:tblLook w:val="04A0" w:firstRow="1" w:lastRow="0" w:firstColumn="1" w:lastColumn="0" w:noHBand="0" w:noVBand="1"/>
      </w:tblPr>
      <w:tblGrid>
        <w:gridCol w:w="3070"/>
        <w:gridCol w:w="1200"/>
        <w:gridCol w:w="1200"/>
      </w:tblGrid>
      <w:tr w:rsidR="00CA3A4D" w:rsidRPr="0072397D" w:rsidTr="00A12174">
        <w:trPr>
          <w:trHeight w:val="300"/>
        </w:trPr>
        <w:tc>
          <w:tcPr>
            <w:tcW w:w="3070" w:type="dxa"/>
            <w:tcBorders>
              <w:top w:val="double" w:sz="4" w:space="0" w:color="auto"/>
              <w:bottom w:val="single" w:sz="4" w:space="0" w:color="auto"/>
            </w:tcBorders>
            <w:noWrap/>
          </w:tcPr>
          <w:p w:rsidR="00CA3A4D" w:rsidRPr="0072397D" w:rsidRDefault="00CA3A4D" w:rsidP="00954A9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A3A4D" w:rsidRPr="0072397D" w:rsidTr="00A12174">
        <w:trPr>
          <w:trHeight w:val="300"/>
        </w:trPr>
        <w:tc>
          <w:tcPr>
            <w:tcW w:w="3070" w:type="dxa"/>
            <w:tcBorders>
              <w:top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135</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10,19</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9,43</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15,47</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218</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16,45</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82</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6,19</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214</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16,15</w:t>
            </w:r>
          </w:p>
        </w:tc>
      </w:tr>
      <w:tr w:rsidR="00CA3A4D" w:rsidRPr="0072397D" w:rsidTr="00A12174">
        <w:trPr>
          <w:trHeight w:val="300"/>
        </w:trPr>
        <w:tc>
          <w:tcPr>
            <w:tcW w:w="3070" w:type="dxa"/>
            <w:tcBorders>
              <w:bottom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346</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26,11</w:t>
            </w:r>
          </w:p>
        </w:tc>
      </w:tr>
      <w:tr w:rsidR="00CA3A4D" w:rsidRPr="0072397D" w:rsidTr="00A12174">
        <w:trPr>
          <w:trHeight w:val="300"/>
        </w:trPr>
        <w:tc>
          <w:tcPr>
            <w:tcW w:w="3070" w:type="dxa"/>
            <w:tcBorders>
              <w:top w:val="single" w:sz="4" w:space="0" w:color="auto"/>
              <w:bottom w:val="doub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8B6C87" w:rsidRPr="00E32B0F" w:rsidRDefault="008B6C87" w:rsidP="00B25C5C">
      <w:pPr>
        <w:tabs>
          <w:tab w:val="right" w:pos="9072"/>
        </w:tabs>
        <w:jc w:val="both"/>
        <w:rPr>
          <w:rFonts w:ascii="Trebuchet MS" w:hAnsi="Trebuchet MS"/>
          <w:b/>
          <w:szCs w:val="24"/>
        </w:rPr>
      </w:pPr>
    </w:p>
    <w:p w:rsidR="008B6C87" w:rsidRPr="003D4FAD" w:rsidRDefault="003D4FAD" w:rsidP="003D4FAD">
      <w:pPr>
        <w:pStyle w:val="Lgende"/>
        <w:spacing w:after="0"/>
        <w:rPr>
          <w:rFonts w:ascii="Trebuchet MS" w:hAnsi="Trebuchet MS"/>
          <w:sz w:val="24"/>
          <w:szCs w:val="24"/>
        </w:rPr>
      </w:pPr>
      <w:bookmarkStart w:id="276" w:name="_Toc426359380"/>
      <w:r w:rsidRPr="003D4FAD">
        <w:rPr>
          <w:rFonts w:ascii="Trebuchet MS" w:hAnsi="Trebuchet MS"/>
        </w:rPr>
        <w:t xml:space="preserve">Tableau </w:t>
      </w:r>
      <w:r w:rsidR="00792500" w:rsidRPr="003D4FAD">
        <w:rPr>
          <w:rFonts w:ascii="Trebuchet MS" w:hAnsi="Trebuchet MS"/>
        </w:rPr>
        <w:fldChar w:fldCharType="begin"/>
      </w:r>
      <w:r w:rsidRPr="003D4FAD">
        <w:rPr>
          <w:rFonts w:ascii="Trebuchet MS" w:hAnsi="Trebuchet MS"/>
        </w:rPr>
        <w:instrText xml:space="preserve"> SEQ Tableau \* ARABIC </w:instrText>
      </w:r>
      <w:r w:rsidR="00792500" w:rsidRPr="003D4FAD">
        <w:rPr>
          <w:rFonts w:ascii="Trebuchet MS" w:hAnsi="Trebuchet MS"/>
        </w:rPr>
        <w:fldChar w:fldCharType="separate"/>
      </w:r>
      <w:r w:rsidR="00556962">
        <w:rPr>
          <w:rFonts w:ascii="Trebuchet MS" w:hAnsi="Trebuchet MS"/>
          <w:noProof/>
        </w:rPr>
        <w:t>61</w:t>
      </w:r>
      <w:r w:rsidR="00792500" w:rsidRPr="003D4FAD">
        <w:rPr>
          <w:rFonts w:ascii="Trebuchet MS" w:hAnsi="Trebuchet MS"/>
        </w:rPr>
        <w:fldChar w:fldCharType="end"/>
      </w:r>
      <w:r w:rsidRPr="003D4FAD">
        <w:rPr>
          <w:rFonts w:ascii="Trebuchet MS" w:hAnsi="Trebuchet MS"/>
        </w:rPr>
        <w:t xml:space="preserve"> : </w:t>
      </w:r>
      <w:r w:rsidR="00283CF9" w:rsidRPr="003D4FAD">
        <w:rPr>
          <w:rFonts w:ascii="Trebuchet MS" w:eastAsia="Times New Roman" w:hAnsi="Trebuchet MS" w:cs="Calibri"/>
          <w:bCs w:val="0"/>
          <w:color w:val="000000"/>
          <w:lang w:eastAsia="fr-FR"/>
        </w:rPr>
        <w:t>Mois pendant lequel les coupures affectent le plus le ménage</w:t>
      </w:r>
      <w:bookmarkEnd w:id="276"/>
    </w:p>
    <w:tbl>
      <w:tblPr>
        <w:tblStyle w:val="ENergiemnage"/>
        <w:tblW w:w="6284" w:type="dxa"/>
        <w:tblBorders>
          <w:top w:val="double" w:sz="4" w:space="0" w:color="auto"/>
          <w:bottom w:val="double" w:sz="4" w:space="0" w:color="auto"/>
        </w:tblBorders>
        <w:tblLook w:val="04A0" w:firstRow="1" w:lastRow="0" w:firstColumn="1" w:lastColumn="0" w:noHBand="0" w:noVBand="1"/>
      </w:tblPr>
      <w:tblGrid>
        <w:gridCol w:w="4345"/>
        <w:gridCol w:w="949"/>
        <w:gridCol w:w="990"/>
      </w:tblGrid>
      <w:tr w:rsidR="00283CF9" w:rsidRPr="0072397D" w:rsidTr="003D4FAD">
        <w:trPr>
          <w:trHeight w:val="300"/>
        </w:trPr>
        <w:tc>
          <w:tcPr>
            <w:tcW w:w="4345" w:type="dxa"/>
            <w:tcBorders>
              <w:top w:val="double" w:sz="4" w:space="0" w:color="auto"/>
              <w:bottom w:val="single" w:sz="4" w:space="0" w:color="auto"/>
            </w:tcBorders>
            <w:noWrap/>
            <w:hideMark/>
          </w:tcPr>
          <w:p w:rsidR="00283CF9" w:rsidRPr="0072397D" w:rsidRDefault="00283CF9" w:rsidP="00283CF9">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Mois</w:t>
            </w:r>
          </w:p>
        </w:tc>
        <w:tc>
          <w:tcPr>
            <w:tcW w:w="949" w:type="dxa"/>
            <w:tcBorders>
              <w:top w:val="double" w:sz="4" w:space="0" w:color="auto"/>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283CF9" w:rsidRPr="0072397D" w:rsidTr="003D4FAD">
        <w:trPr>
          <w:trHeight w:val="300"/>
        </w:trPr>
        <w:tc>
          <w:tcPr>
            <w:tcW w:w="4345" w:type="dxa"/>
            <w:tcBorders>
              <w:top w:val="sing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Janvier</w:t>
            </w:r>
          </w:p>
        </w:tc>
        <w:tc>
          <w:tcPr>
            <w:tcW w:w="949" w:type="dxa"/>
            <w:tcBorders>
              <w:top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w:t>
            </w:r>
          </w:p>
        </w:tc>
        <w:tc>
          <w:tcPr>
            <w:tcW w:w="990" w:type="dxa"/>
            <w:tcBorders>
              <w:top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Février</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Mars</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75</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5,7</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Avril</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86</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6,5</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Mai</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72</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5,4</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Juin</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154</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Juillet</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Aout</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101</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Septembre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Octobre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Novembre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Décembre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168</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12,7</w:t>
            </w:r>
          </w:p>
        </w:tc>
      </w:tr>
      <w:tr w:rsidR="00283CF9" w:rsidRPr="0072397D" w:rsidTr="003D4FAD">
        <w:trPr>
          <w:trHeight w:val="300"/>
        </w:trPr>
        <w:tc>
          <w:tcPr>
            <w:tcW w:w="4345" w:type="dxa"/>
            <w:tcBorders>
              <w:bottom w:val="sing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9" w:type="dxa"/>
            <w:tcBorders>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270</w:t>
            </w:r>
          </w:p>
        </w:tc>
        <w:tc>
          <w:tcPr>
            <w:tcW w:w="990" w:type="dxa"/>
            <w:tcBorders>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20,4</w:t>
            </w:r>
          </w:p>
        </w:tc>
      </w:tr>
      <w:tr w:rsidR="00283CF9" w:rsidRPr="0072397D" w:rsidTr="003D4FAD">
        <w:trPr>
          <w:trHeight w:val="300"/>
        </w:trPr>
        <w:tc>
          <w:tcPr>
            <w:tcW w:w="4345" w:type="dxa"/>
            <w:tcBorders>
              <w:top w:val="single" w:sz="4" w:space="0" w:color="auto"/>
              <w:bottom w:val="doub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990" w:type="dxa"/>
            <w:tcBorders>
              <w:top w:val="single" w:sz="4" w:space="0" w:color="auto"/>
              <w:bottom w:val="doub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2638FF" w:rsidRPr="00E32B0F" w:rsidRDefault="002638FF" w:rsidP="00F51150">
      <w:pPr>
        <w:tabs>
          <w:tab w:val="right" w:pos="9072"/>
        </w:tabs>
        <w:rPr>
          <w:rFonts w:ascii="Trebuchet MS" w:hAnsi="Trebuchet MS"/>
          <w:szCs w:val="24"/>
        </w:rPr>
      </w:pPr>
    </w:p>
    <w:p w:rsidR="00404197" w:rsidRPr="003D4FAD" w:rsidRDefault="003D4FAD" w:rsidP="003D4FAD">
      <w:pPr>
        <w:pStyle w:val="Lgende"/>
        <w:spacing w:after="0"/>
        <w:rPr>
          <w:rFonts w:ascii="Trebuchet MS" w:hAnsi="Trebuchet MS"/>
          <w:szCs w:val="24"/>
        </w:rPr>
      </w:pPr>
      <w:bookmarkStart w:id="277" w:name="_Toc426359381"/>
      <w:r w:rsidRPr="003D4FAD">
        <w:rPr>
          <w:rFonts w:ascii="Trebuchet MS" w:hAnsi="Trebuchet MS"/>
        </w:rPr>
        <w:t xml:space="preserve">Tableau </w:t>
      </w:r>
      <w:r w:rsidR="00792500" w:rsidRPr="003D4FAD">
        <w:rPr>
          <w:rFonts w:ascii="Trebuchet MS" w:hAnsi="Trebuchet MS"/>
        </w:rPr>
        <w:fldChar w:fldCharType="begin"/>
      </w:r>
      <w:r w:rsidRPr="003D4FAD">
        <w:rPr>
          <w:rFonts w:ascii="Trebuchet MS" w:hAnsi="Trebuchet MS"/>
        </w:rPr>
        <w:instrText xml:space="preserve"> SEQ Tableau \* ARABIC </w:instrText>
      </w:r>
      <w:r w:rsidR="00792500" w:rsidRPr="003D4FAD">
        <w:rPr>
          <w:rFonts w:ascii="Trebuchet MS" w:hAnsi="Trebuchet MS"/>
        </w:rPr>
        <w:fldChar w:fldCharType="separate"/>
      </w:r>
      <w:r w:rsidR="00556962">
        <w:rPr>
          <w:rFonts w:ascii="Trebuchet MS" w:hAnsi="Trebuchet MS"/>
          <w:noProof/>
        </w:rPr>
        <w:t>62</w:t>
      </w:r>
      <w:r w:rsidR="00792500" w:rsidRPr="003D4FAD">
        <w:rPr>
          <w:rFonts w:ascii="Trebuchet MS" w:hAnsi="Trebuchet MS"/>
        </w:rPr>
        <w:fldChar w:fldCharType="end"/>
      </w:r>
      <w:r w:rsidRPr="003D4FAD">
        <w:rPr>
          <w:rFonts w:ascii="Trebuchet MS" w:hAnsi="Trebuchet MS"/>
        </w:rPr>
        <w:t xml:space="preserve"> : </w:t>
      </w:r>
      <w:r w:rsidRPr="003D4FAD">
        <w:rPr>
          <w:rFonts w:ascii="Trebuchet MS" w:hAnsi="Trebuchet MS"/>
          <w:szCs w:val="24"/>
        </w:rPr>
        <w:t>Conditions pour lesquelles les ménages seraient prêts à payer davantage</w:t>
      </w:r>
      <w:bookmarkEnd w:id="277"/>
    </w:p>
    <w:tbl>
      <w:tblPr>
        <w:tblStyle w:val="ENergiemnage"/>
        <w:tblW w:w="6229" w:type="dxa"/>
        <w:tblBorders>
          <w:top w:val="double" w:sz="4" w:space="0" w:color="auto"/>
          <w:bottom w:val="double" w:sz="4" w:space="0" w:color="auto"/>
        </w:tblBorders>
        <w:tblLook w:val="04A0" w:firstRow="1" w:lastRow="0" w:firstColumn="1" w:lastColumn="0" w:noHBand="0" w:noVBand="1"/>
      </w:tblPr>
      <w:tblGrid>
        <w:gridCol w:w="3749"/>
        <w:gridCol w:w="1240"/>
        <w:gridCol w:w="1240"/>
      </w:tblGrid>
      <w:tr w:rsidR="00404197" w:rsidRPr="003D4FAD" w:rsidTr="00E32B0F">
        <w:trPr>
          <w:trHeight w:val="300"/>
        </w:trPr>
        <w:tc>
          <w:tcPr>
            <w:tcW w:w="3749" w:type="dxa"/>
            <w:tcBorders>
              <w:top w:val="double" w:sz="4" w:space="0" w:color="auto"/>
              <w:bottom w:val="single" w:sz="4" w:space="0" w:color="auto"/>
            </w:tcBorders>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 </w:t>
            </w:r>
          </w:p>
        </w:tc>
        <w:tc>
          <w:tcPr>
            <w:tcW w:w="1240" w:type="dxa"/>
            <w:tcBorders>
              <w:top w:val="double" w:sz="4" w:space="0" w:color="auto"/>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Effectif</w:t>
            </w:r>
          </w:p>
        </w:tc>
        <w:tc>
          <w:tcPr>
            <w:tcW w:w="1240" w:type="dxa"/>
            <w:tcBorders>
              <w:top w:val="double" w:sz="4" w:space="0" w:color="auto"/>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Part (%)</w:t>
            </w:r>
          </w:p>
        </w:tc>
      </w:tr>
      <w:tr w:rsidR="00404197" w:rsidRPr="003D4FAD" w:rsidTr="00E32B0F">
        <w:trPr>
          <w:trHeight w:val="300"/>
        </w:trPr>
        <w:tc>
          <w:tcPr>
            <w:tcW w:w="3749" w:type="dxa"/>
            <w:tcBorders>
              <w:top w:val="single" w:sz="4" w:space="0" w:color="auto"/>
            </w:tcBorders>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Diminution du prix de raccordement</w:t>
            </w:r>
          </w:p>
        </w:tc>
        <w:tc>
          <w:tcPr>
            <w:tcW w:w="1240" w:type="dxa"/>
            <w:tcBorders>
              <w:top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tcBorders>
              <w:top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789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98,4</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13</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1,6</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continue le jour</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690</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86,0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108</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13,5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continue la soirée</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732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91,3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68</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durant 24 h</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756</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94,3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5,2</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Réduction du cout du KWh</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644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66</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8,2</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11,5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Autre condition à préciser</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6,1</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689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85,9</w:t>
            </w:r>
          </w:p>
        </w:tc>
      </w:tr>
      <w:tr w:rsidR="00404197" w:rsidRPr="003D4FAD" w:rsidTr="00E32B0F">
        <w:trPr>
          <w:trHeight w:val="300"/>
        </w:trPr>
        <w:tc>
          <w:tcPr>
            <w:tcW w:w="3749" w:type="dxa"/>
            <w:tcBorders>
              <w:bottom w:val="single" w:sz="4" w:space="0" w:color="auto"/>
            </w:tcBorders>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tcBorders>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64</w:t>
            </w:r>
          </w:p>
        </w:tc>
        <w:tc>
          <w:tcPr>
            <w:tcW w:w="1240" w:type="dxa"/>
            <w:tcBorders>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w:t>
            </w:r>
          </w:p>
        </w:tc>
      </w:tr>
      <w:tr w:rsidR="00404197" w:rsidRPr="003D4FAD" w:rsidTr="00E32B0F">
        <w:trPr>
          <w:trHeight w:val="300"/>
        </w:trPr>
        <w:tc>
          <w:tcPr>
            <w:tcW w:w="3749" w:type="dxa"/>
            <w:tcBorders>
              <w:top w:val="single" w:sz="4" w:space="0" w:color="auto"/>
              <w:bottom w:val="double" w:sz="4" w:space="0" w:color="auto"/>
            </w:tcBorders>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tcBorders>
              <w:top w:val="single" w:sz="4" w:space="0" w:color="auto"/>
              <w:bottom w:val="doub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tcBorders>
              <w:top w:val="single" w:sz="4" w:space="0" w:color="auto"/>
              <w:bottom w:val="doub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bl>
    <w:p w:rsidR="00404197" w:rsidRPr="00E32B0F" w:rsidRDefault="00404197" w:rsidP="00F51150">
      <w:pPr>
        <w:tabs>
          <w:tab w:val="right" w:pos="9072"/>
        </w:tabs>
        <w:rPr>
          <w:rFonts w:ascii="Trebuchet MS" w:hAnsi="Trebuchet MS"/>
          <w:sz w:val="18"/>
          <w:szCs w:val="24"/>
        </w:rPr>
      </w:pPr>
    </w:p>
    <w:p w:rsidR="00404197" w:rsidRPr="003D4FAD" w:rsidRDefault="003D4FAD" w:rsidP="003D4FAD">
      <w:pPr>
        <w:pStyle w:val="Lgende"/>
        <w:spacing w:after="0"/>
        <w:rPr>
          <w:rFonts w:ascii="Trebuchet MS" w:eastAsia="Times New Roman" w:hAnsi="Trebuchet MS" w:cs="Calibri"/>
          <w:bCs w:val="0"/>
          <w:color w:val="000000"/>
          <w:lang w:eastAsia="fr-FR"/>
        </w:rPr>
      </w:pPr>
      <w:bookmarkStart w:id="278" w:name="_Toc426359382"/>
      <w:r w:rsidRPr="003D4FAD">
        <w:rPr>
          <w:rFonts w:ascii="Trebuchet MS" w:eastAsia="Times New Roman" w:hAnsi="Trebuchet MS" w:cs="Calibri"/>
          <w:bCs w:val="0"/>
          <w:color w:val="000000"/>
          <w:lang w:eastAsia="fr-FR"/>
        </w:rPr>
        <w:t xml:space="preserve">Tableau </w:t>
      </w:r>
      <w:r w:rsidR="00792500" w:rsidRPr="003D4FAD">
        <w:rPr>
          <w:rFonts w:ascii="Trebuchet MS" w:eastAsia="Times New Roman" w:hAnsi="Trebuchet MS" w:cs="Calibri"/>
          <w:bCs w:val="0"/>
          <w:color w:val="000000"/>
          <w:lang w:eastAsia="fr-FR"/>
        </w:rPr>
        <w:fldChar w:fldCharType="begin"/>
      </w:r>
      <w:r w:rsidRPr="003D4FAD">
        <w:rPr>
          <w:rFonts w:ascii="Trebuchet MS" w:eastAsia="Times New Roman" w:hAnsi="Trebuchet MS" w:cs="Calibri"/>
          <w:bCs w:val="0"/>
          <w:color w:val="000000"/>
          <w:lang w:eastAsia="fr-FR"/>
        </w:rPr>
        <w:instrText xml:space="preserve"> SEQ Tableau \* ARABIC </w:instrText>
      </w:r>
      <w:r w:rsidR="00792500" w:rsidRPr="003D4FAD">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63</w:t>
      </w:r>
      <w:r w:rsidR="00792500" w:rsidRPr="003D4FAD">
        <w:rPr>
          <w:rFonts w:ascii="Trebuchet MS" w:eastAsia="Times New Roman" w:hAnsi="Trebuchet MS" w:cs="Calibri"/>
          <w:bCs w:val="0"/>
          <w:color w:val="000000"/>
          <w:lang w:eastAsia="fr-FR"/>
        </w:rPr>
        <w:fldChar w:fldCharType="end"/>
      </w:r>
      <w:r w:rsidRPr="003D4FAD">
        <w:rPr>
          <w:rFonts w:ascii="Trebuchet MS" w:eastAsia="Times New Roman" w:hAnsi="Trebuchet MS" w:cs="Calibri"/>
          <w:bCs w:val="0"/>
          <w:color w:val="000000"/>
          <w:lang w:eastAsia="fr-FR"/>
        </w:rPr>
        <w:t xml:space="preserve"> : </w:t>
      </w:r>
      <w:r w:rsidR="00657B8B" w:rsidRPr="003D4FAD">
        <w:rPr>
          <w:rFonts w:ascii="Trebuchet MS" w:eastAsia="Times New Roman" w:hAnsi="Trebuchet MS" w:cs="Calibri"/>
          <w:bCs w:val="0"/>
          <w:color w:val="000000"/>
          <w:lang w:eastAsia="fr-FR"/>
        </w:rPr>
        <w:t>Connaissance ou non de la distance qui sépare le ménage du poteau le plus proche</w:t>
      </w:r>
      <w:bookmarkEnd w:id="278"/>
    </w:p>
    <w:tbl>
      <w:tblPr>
        <w:tblStyle w:val="ENergiemnage"/>
        <w:tblW w:w="7346" w:type="dxa"/>
        <w:tblBorders>
          <w:top w:val="double" w:sz="4" w:space="0" w:color="auto"/>
          <w:bottom w:val="double" w:sz="4" w:space="0" w:color="auto"/>
        </w:tblBorders>
        <w:tblLook w:val="04A0" w:firstRow="1" w:lastRow="0" w:firstColumn="1" w:lastColumn="0" w:noHBand="0" w:noVBand="1"/>
      </w:tblPr>
      <w:tblGrid>
        <w:gridCol w:w="4711"/>
        <w:gridCol w:w="1238"/>
        <w:gridCol w:w="1397"/>
      </w:tblGrid>
      <w:tr w:rsidR="00657B8B" w:rsidRPr="0072397D" w:rsidTr="003D4FAD">
        <w:trPr>
          <w:trHeight w:val="285"/>
        </w:trPr>
        <w:tc>
          <w:tcPr>
            <w:tcW w:w="4711" w:type="dxa"/>
            <w:tcBorders>
              <w:top w:val="double" w:sz="4" w:space="0" w:color="auto"/>
              <w:bottom w:val="single" w:sz="4" w:space="0" w:color="auto"/>
            </w:tcBorders>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Libellés</w:t>
            </w:r>
          </w:p>
        </w:tc>
        <w:tc>
          <w:tcPr>
            <w:tcW w:w="1238" w:type="dxa"/>
            <w:tcBorders>
              <w:top w:val="double" w:sz="4" w:space="0" w:color="auto"/>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Effectif</w:t>
            </w:r>
          </w:p>
        </w:tc>
        <w:tc>
          <w:tcPr>
            <w:tcW w:w="1397" w:type="dxa"/>
            <w:tcBorders>
              <w:top w:val="double" w:sz="4" w:space="0" w:color="auto"/>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Part (%)</w:t>
            </w:r>
          </w:p>
        </w:tc>
      </w:tr>
      <w:tr w:rsidR="00657B8B" w:rsidRPr="0072397D" w:rsidTr="003D4FAD">
        <w:trPr>
          <w:trHeight w:val="252"/>
        </w:trPr>
        <w:tc>
          <w:tcPr>
            <w:tcW w:w="4711" w:type="dxa"/>
            <w:tcBorders>
              <w:top w:val="sing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Oui l'enquêté sait</w:t>
            </w:r>
          </w:p>
        </w:tc>
        <w:tc>
          <w:tcPr>
            <w:tcW w:w="1238" w:type="dxa"/>
            <w:tcBorders>
              <w:top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1021</w:t>
            </w:r>
          </w:p>
        </w:tc>
        <w:tc>
          <w:tcPr>
            <w:tcW w:w="1397" w:type="dxa"/>
            <w:tcBorders>
              <w:top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41,0</w:t>
            </w:r>
          </w:p>
        </w:tc>
      </w:tr>
      <w:tr w:rsidR="00657B8B" w:rsidRPr="0072397D" w:rsidTr="003D4FAD">
        <w:trPr>
          <w:trHeight w:val="252"/>
        </w:trPr>
        <w:tc>
          <w:tcPr>
            <w:tcW w:w="4711" w:type="dxa"/>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Non l'enquêté ne sait pas</w:t>
            </w:r>
          </w:p>
        </w:tc>
        <w:tc>
          <w:tcPr>
            <w:tcW w:w="1238" w:type="dxa"/>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68</w:t>
            </w:r>
          </w:p>
        </w:tc>
        <w:tc>
          <w:tcPr>
            <w:tcW w:w="1397" w:type="dxa"/>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2,7</w:t>
            </w:r>
          </w:p>
        </w:tc>
      </w:tr>
      <w:tr w:rsidR="00657B8B" w:rsidRPr="0072397D" w:rsidTr="003D4FAD">
        <w:trPr>
          <w:trHeight w:val="252"/>
        </w:trPr>
        <w:tc>
          <w:tcPr>
            <w:tcW w:w="4711" w:type="dxa"/>
            <w:tcBorders>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Non déclaré</w:t>
            </w:r>
          </w:p>
        </w:tc>
        <w:tc>
          <w:tcPr>
            <w:tcW w:w="1238" w:type="dxa"/>
            <w:tcBorders>
              <w:bottom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1402</w:t>
            </w:r>
          </w:p>
        </w:tc>
        <w:tc>
          <w:tcPr>
            <w:tcW w:w="1397" w:type="dxa"/>
            <w:tcBorders>
              <w:bottom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56,3</w:t>
            </w:r>
          </w:p>
        </w:tc>
      </w:tr>
      <w:tr w:rsidR="00657B8B" w:rsidRPr="0072397D" w:rsidTr="003D4FAD">
        <w:trPr>
          <w:trHeight w:val="252"/>
        </w:trPr>
        <w:tc>
          <w:tcPr>
            <w:tcW w:w="4711" w:type="dxa"/>
            <w:tcBorders>
              <w:top w:val="single" w:sz="4" w:space="0" w:color="auto"/>
              <w:bottom w:val="doub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Total</w:t>
            </w:r>
          </w:p>
        </w:tc>
        <w:tc>
          <w:tcPr>
            <w:tcW w:w="1238" w:type="dxa"/>
            <w:tcBorders>
              <w:top w:val="single" w:sz="4" w:space="0" w:color="auto"/>
              <w:bottom w:val="doub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2491</w:t>
            </w:r>
          </w:p>
        </w:tc>
        <w:tc>
          <w:tcPr>
            <w:tcW w:w="1397" w:type="dxa"/>
            <w:tcBorders>
              <w:top w:val="single" w:sz="4" w:space="0" w:color="auto"/>
              <w:bottom w:val="doub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100,0</w:t>
            </w:r>
          </w:p>
        </w:tc>
      </w:tr>
    </w:tbl>
    <w:p w:rsidR="000505E4" w:rsidRPr="0072397D" w:rsidRDefault="000505E4">
      <w:pPr>
        <w:spacing w:after="0" w:line="240" w:lineRule="auto"/>
        <w:rPr>
          <w:rFonts w:ascii="Trebuchet MS" w:hAnsi="Trebuchet MS"/>
          <w:sz w:val="24"/>
          <w:szCs w:val="24"/>
        </w:rPr>
      </w:pPr>
      <w:r w:rsidRPr="0072397D">
        <w:rPr>
          <w:rFonts w:ascii="Trebuchet MS" w:hAnsi="Trebuchet MS"/>
          <w:sz w:val="24"/>
          <w:szCs w:val="24"/>
        </w:rPr>
        <w:br w:type="page"/>
      </w:r>
    </w:p>
    <w:p w:rsidR="0093699E" w:rsidRDefault="000505E4" w:rsidP="0044323F">
      <w:pPr>
        <w:pStyle w:val="Titre1"/>
      </w:pPr>
      <w:bookmarkStart w:id="279" w:name="_Toc403929813"/>
      <w:bookmarkStart w:id="280" w:name="_Toc403933520"/>
      <w:bookmarkStart w:id="281" w:name="_Toc421805414"/>
      <w:bookmarkStart w:id="282" w:name="_Toc421806967"/>
      <w:bookmarkStart w:id="283" w:name="_Toc425961655"/>
      <w:bookmarkStart w:id="284" w:name="_Toc426359411"/>
      <w:bookmarkStart w:id="285" w:name="_Toc426359486"/>
      <w:r w:rsidRPr="0072397D">
        <w:t>TABLE DES MATIERES</w:t>
      </w:r>
      <w:bookmarkEnd w:id="279"/>
      <w:bookmarkEnd w:id="280"/>
      <w:bookmarkEnd w:id="281"/>
      <w:bookmarkEnd w:id="282"/>
      <w:bookmarkEnd w:id="283"/>
      <w:bookmarkEnd w:id="284"/>
      <w:bookmarkEnd w:id="285"/>
    </w:p>
    <w:p w:rsidR="0093699E" w:rsidRDefault="0093699E" w:rsidP="0093699E">
      <w:pPr>
        <w:tabs>
          <w:tab w:val="right" w:pos="9072"/>
        </w:tabs>
        <w:rPr>
          <w:rFonts w:ascii="Trebuchet MS" w:hAnsi="Trebuchet MS"/>
          <w:sz w:val="24"/>
          <w:szCs w:val="24"/>
        </w:rPr>
      </w:pPr>
    </w:p>
    <w:p w:rsidR="00DF7388" w:rsidRPr="00DF7388" w:rsidRDefault="00792500" w:rsidP="00DF7388">
      <w:pPr>
        <w:pStyle w:val="TM1"/>
        <w:tabs>
          <w:tab w:val="right" w:leader="dot" w:pos="9062"/>
        </w:tabs>
        <w:rPr>
          <w:rFonts w:asciiTheme="minorHAnsi" w:eastAsiaTheme="minorEastAsia" w:hAnsiTheme="minorHAnsi" w:cstheme="minorBidi"/>
          <w:noProof/>
          <w:sz w:val="22"/>
          <w:lang w:eastAsia="fr-FR"/>
        </w:rPr>
      </w:pPr>
      <w:r w:rsidRPr="00DF7388">
        <w:rPr>
          <w:sz w:val="24"/>
          <w:szCs w:val="24"/>
        </w:rPr>
        <w:fldChar w:fldCharType="begin"/>
      </w:r>
      <w:r w:rsidR="00FD162E" w:rsidRPr="00DF7388">
        <w:rPr>
          <w:sz w:val="24"/>
          <w:szCs w:val="24"/>
        </w:rPr>
        <w:instrText xml:space="preserve"> TOC \o "1-7" \h \z \u </w:instrText>
      </w:r>
      <w:r w:rsidRPr="00DF7388">
        <w:rPr>
          <w:sz w:val="24"/>
          <w:szCs w:val="24"/>
        </w:rPr>
        <w:fldChar w:fldCharType="separate"/>
      </w:r>
      <w:hyperlink w:anchor="_Toc426359413" w:history="1">
        <w:r w:rsidR="00DF7388" w:rsidRPr="00DF7388">
          <w:rPr>
            <w:rStyle w:val="Lienhypertexte"/>
            <w:noProof/>
          </w:rPr>
          <w:t>SIGLES ET ABREVIATIONS</w:t>
        </w:r>
        <w:r w:rsidR="00DF7388" w:rsidRPr="00DF7388">
          <w:rPr>
            <w:noProof/>
            <w:webHidden/>
          </w:rPr>
          <w:tab/>
        </w:r>
        <w:r w:rsidRPr="00DF7388">
          <w:rPr>
            <w:noProof/>
            <w:webHidden/>
          </w:rPr>
          <w:fldChar w:fldCharType="begin"/>
        </w:r>
        <w:r w:rsidR="00DF7388" w:rsidRPr="00DF7388">
          <w:rPr>
            <w:noProof/>
            <w:webHidden/>
          </w:rPr>
          <w:instrText xml:space="preserve"> PAGEREF _Toc426359413 \h </w:instrText>
        </w:r>
        <w:r w:rsidRPr="00DF7388">
          <w:rPr>
            <w:noProof/>
            <w:webHidden/>
          </w:rPr>
        </w:r>
        <w:r w:rsidRPr="00DF7388">
          <w:rPr>
            <w:noProof/>
            <w:webHidden/>
          </w:rPr>
          <w:fldChar w:fldCharType="separate"/>
        </w:r>
        <w:r w:rsidR="00DF7388" w:rsidRPr="00DF7388">
          <w:rPr>
            <w:noProof/>
            <w:webHidden/>
          </w:rPr>
          <w:t>2</w:t>
        </w:r>
        <w:r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14" w:history="1">
        <w:r w:rsidR="00DF7388" w:rsidRPr="00DF7388">
          <w:rPr>
            <w:rStyle w:val="Lienhypertexte"/>
            <w:noProof/>
          </w:rPr>
          <w:t>SOMMAIRE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_Toc426359414 \h </w:instrText>
        </w:r>
        <w:r w:rsidR="00792500" w:rsidRPr="00DF7388">
          <w:rPr>
            <w:noProof/>
            <w:webHidden/>
          </w:rPr>
        </w:r>
        <w:r w:rsidR="00792500" w:rsidRPr="00DF7388">
          <w:rPr>
            <w:noProof/>
            <w:webHidden/>
          </w:rPr>
          <w:fldChar w:fldCharType="separate"/>
        </w:r>
        <w:r w:rsidR="00DF7388" w:rsidRPr="00DF7388">
          <w:rPr>
            <w:noProof/>
            <w:webHidden/>
          </w:rPr>
          <w:t>3</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15" w:history="1">
        <w:r w:rsidR="00DF7388" w:rsidRPr="00DF7388">
          <w:rPr>
            <w:rStyle w:val="Lienhypertexte"/>
            <w:noProof/>
          </w:rPr>
          <w:t>LISTE DES TABLEAUX</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_Toc426359415 \h </w:instrText>
        </w:r>
        <w:r w:rsidR="00792500" w:rsidRPr="00DF7388">
          <w:rPr>
            <w:noProof/>
            <w:webHidden/>
          </w:rPr>
        </w:r>
        <w:r w:rsidR="00792500" w:rsidRPr="00DF7388">
          <w:rPr>
            <w:noProof/>
            <w:webHidden/>
          </w:rPr>
          <w:fldChar w:fldCharType="separate"/>
        </w:r>
        <w:r w:rsidR="00DF7388" w:rsidRPr="00DF7388">
          <w:rPr>
            <w:noProof/>
            <w:webHidden/>
          </w:rPr>
          <w:t>4</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16" w:history="1">
        <w:r w:rsidR="00DF7388" w:rsidRPr="00DF7388">
          <w:rPr>
            <w:rStyle w:val="Lienhypertexte"/>
            <w:noProof/>
          </w:rPr>
          <w:t>LISTE DES GRAPHIQUES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_Toc426359416 \h </w:instrText>
        </w:r>
        <w:r w:rsidR="00792500" w:rsidRPr="00DF7388">
          <w:rPr>
            <w:noProof/>
            <w:webHidden/>
          </w:rPr>
        </w:r>
        <w:r w:rsidR="00792500" w:rsidRPr="00DF7388">
          <w:rPr>
            <w:noProof/>
            <w:webHidden/>
          </w:rPr>
          <w:fldChar w:fldCharType="separate"/>
        </w:r>
        <w:r w:rsidR="00DF7388" w:rsidRPr="00DF7388">
          <w:rPr>
            <w:noProof/>
            <w:webHidden/>
          </w:rPr>
          <w:t>7</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17" w:history="1">
        <w:r w:rsidR="00DF7388" w:rsidRPr="00DF7388">
          <w:rPr>
            <w:rStyle w:val="Lienhypertexte"/>
            <w:noProof/>
          </w:rPr>
          <w:t>NOTE METHODOLOGIQUE SUR L’ENQUETE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_Toc426359417 \h </w:instrText>
        </w:r>
        <w:r w:rsidR="00792500" w:rsidRPr="00DF7388">
          <w:rPr>
            <w:noProof/>
            <w:webHidden/>
          </w:rPr>
        </w:r>
        <w:r w:rsidR="00792500" w:rsidRPr="00DF7388">
          <w:rPr>
            <w:noProof/>
            <w:webHidden/>
          </w:rPr>
          <w:fldChar w:fldCharType="separate"/>
        </w:r>
        <w:r w:rsidR="00DF7388" w:rsidRPr="00DF7388">
          <w:rPr>
            <w:noProof/>
            <w:webHidden/>
          </w:rPr>
          <w:t>8</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18" w:history="1">
        <w:r w:rsidR="00DF7388" w:rsidRPr="00DF7388">
          <w:rPr>
            <w:rStyle w:val="Lienhypertexte"/>
            <w:noProof/>
          </w:rPr>
          <w:t>INTRODUCTION</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_Toc426359418 \h </w:instrText>
        </w:r>
        <w:r w:rsidR="00792500" w:rsidRPr="00DF7388">
          <w:rPr>
            <w:noProof/>
            <w:webHidden/>
          </w:rPr>
        </w:r>
        <w:r w:rsidR="00792500" w:rsidRPr="00DF7388">
          <w:rPr>
            <w:noProof/>
            <w:webHidden/>
          </w:rPr>
          <w:fldChar w:fldCharType="separate"/>
        </w:r>
        <w:r w:rsidR="00DF7388" w:rsidRPr="00DF7388">
          <w:rPr>
            <w:noProof/>
            <w:webHidden/>
          </w:rPr>
          <w:t>9</w:t>
        </w:r>
        <w:r w:rsidR="00792500" w:rsidRPr="00DF7388">
          <w:rPr>
            <w:noProof/>
            <w:webHidden/>
          </w:rPr>
          <w:fldChar w:fldCharType="end"/>
        </w:r>
      </w:hyperlink>
    </w:p>
    <w:p w:rsidR="00DF7388" w:rsidRPr="00DF7388" w:rsidRDefault="00EE3E92" w:rsidP="00DF7388">
      <w:pPr>
        <w:pStyle w:val="TM2"/>
        <w:tabs>
          <w:tab w:val="right" w:leader="dot" w:pos="9062"/>
        </w:tabs>
        <w:jc w:val="both"/>
        <w:rPr>
          <w:rFonts w:asciiTheme="minorHAnsi" w:eastAsiaTheme="minorEastAsia" w:hAnsiTheme="minorHAnsi" w:cstheme="minorBidi"/>
          <w:noProof/>
          <w:lang w:eastAsia="fr-FR"/>
        </w:rPr>
      </w:pPr>
      <w:hyperlink w:anchor="_Toc426359419" w:history="1">
        <w:r w:rsidR="00DF7388" w:rsidRPr="00DF7388">
          <w:rPr>
            <w:rStyle w:val="Lienhypertexte"/>
            <w:noProof/>
          </w:rPr>
          <w:t>CHAPITRE 1 : CARACTERISTIQUES SOCIO-DEMOGRAPHIQUES DES MENAGES ENQUETES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_Toc426359419 \h </w:instrText>
        </w:r>
        <w:r w:rsidR="00792500" w:rsidRPr="00DF7388">
          <w:rPr>
            <w:noProof/>
            <w:webHidden/>
          </w:rPr>
        </w:r>
        <w:r w:rsidR="00792500" w:rsidRPr="00DF7388">
          <w:rPr>
            <w:noProof/>
            <w:webHidden/>
          </w:rPr>
          <w:fldChar w:fldCharType="separate"/>
        </w:r>
        <w:r w:rsidR="00DF7388" w:rsidRPr="00DF7388">
          <w:rPr>
            <w:noProof/>
            <w:webHidden/>
          </w:rPr>
          <w:t>11</w:t>
        </w:r>
        <w:r w:rsidR="00792500" w:rsidRPr="00DF7388">
          <w:rPr>
            <w:noProof/>
            <w:webHidden/>
          </w:rPr>
          <w:fldChar w:fldCharType="end"/>
        </w:r>
      </w:hyperlink>
    </w:p>
    <w:p w:rsidR="00DF7388" w:rsidRPr="00DF7388" w:rsidRDefault="00EE3E92" w:rsidP="00DF7388">
      <w:pPr>
        <w:pStyle w:val="TM3"/>
        <w:tabs>
          <w:tab w:val="left" w:pos="1100"/>
          <w:tab w:val="right" w:leader="dot" w:pos="9062"/>
        </w:tabs>
        <w:jc w:val="both"/>
        <w:rPr>
          <w:rFonts w:asciiTheme="minorHAnsi" w:eastAsiaTheme="minorEastAsia" w:hAnsiTheme="minorHAnsi" w:cstheme="minorBidi"/>
          <w:noProof/>
          <w:lang w:eastAsia="fr-FR"/>
        </w:rPr>
      </w:pPr>
      <w:hyperlink w:anchor="_Toc426359420" w:history="1">
        <w:r w:rsidR="00DF7388" w:rsidRPr="00DF7388">
          <w:rPr>
            <w:rStyle w:val="Lienhypertexte"/>
            <w:noProof/>
          </w:rPr>
          <w:t>1.1.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par sexe et par âge du chef de ménage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_Toc426359420 \h </w:instrText>
        </w:r>
        <w:r w:rsidR="00792500" w:rsidRPr="00DF7388">
          <w:rPr>
            <w:noProof/>
            <w:webHidden/>
          </w:rPr>
        </w:r>
        <w:r w:rsidR="00792500" w:rsidRPr="00DF7388">
          <w:rPr>
            <w:noProof/>
            <w:webHidden/>
          </w:rPr>
          <w:fldChar w:fldCharType="separate"/>
        </w:r>
        <w:r w:rsidR="00DF7388" w:rsidRPr="00DF7388">
          <w:rPr>
            <w:noProof/>
            <w:webHidden/>
          </w:rPr>
          <w:t>11</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21" w:history="1">
        <w:r w:rsidR="00DF7388" w:rsidRPr="00DF7388">
          <w:rPr>
            <w:rStyle w:val="Lienhypertexte"/>
            <w:noProof/>
          </w:rPr>
          <w:t>1.1.1.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suivant le département et le milieu de résidence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_Toc426359421 \h </w:instrText>
        </w:r>
        <w:r w:rsidR="00792500" w:rsidRPr="00DF7388">
          <w:rPr>
            <w:noProof/>
            <w:webHidden/>
          </w:rPr>
        </w:r>
        <w:r w:rsidR="00792500" w:rsidRPr="00DF7388">
          <w:rPr>
            <w:noProof/>
            <w:webHidden/>
          </w:rPr>
          <w:fldChar w:fldCharType="separate"/>
        </w:r>
        <w:r w:rsidR="00DF7388" w:rsidRPr="00DF7388">
          <w:rPr>
            <w:noProof/>
            <w:webHidden/>
          </w:rPr>
          <w:t>11</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22" w:history="1">
        <w:r w:rsidR="00DF7388" w:rsidRPr="00DF7388">
          <w:rPr>
            <w:rStyle w:val="Lienhypertexte"/>
            <w:noProof/>
          </w:rPr>
          <w:t>1.1.2.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suivant les caractéristiques sociodémographiques des chefs</w:t>
        </w:r>
        <w:r w:rsidR="00DF7388" w:rsidRPr="00DF7388">
          <w:rPr>
            <w:noProof/>
            <w:webHidden/>
          </w:rPr>
          <w:tab/>
        </w:r>
        <w:r w:rsidR="00DF7388">
          <w:rPr>
            <w:noProof/>
            <w:webHidden/>
          </w:rPr>
          <w:tab/>
        </w:r>
        <w:r w:rsidR="00DF7388">
          <w:rPr>
            <w:noProof/>
            <w:webHidden/>
          </w:rPr>
          <w:tab/>
        </w:r>
        <w:r w:rsidR="00792500" w:rsidRPr="00DF7388">
          <w:rPr>
            <w:noProof/>
            <w:webHidden/>
          </w:rPr>
          <w:fldChar w:fldCharType="begin"/>
        </w:r>
        <w:r w:rsidR="00DF7388" w:rsidRPr="00DF7388">
          <w:rPr>
            <w:noProof/>
            <w:webHidden/>
          </w:rPr>
          <w:instrText xml:space="preserve"> PAGEREF _Toc426359422 \h </w:instrText>
        </w:r>
        <w:r w:rsidR="00792500" w:rsidRPr="00DF7388">
          <w:rPr>
            <w:noProof/>
            <w:webHidden/>
          </w:rPr>
        </w:r>
        <w:r w:rsidR="00792500" w:rsidRPr="00DF7388">
          <w:rPr>
            <w:noProof/>
            <w:webHidden/>
          </w:rPr>
          <w:fldChar w:fldCharType="separate"/>
        </w:r>
        <w:r w:rsidR="00DF7388" w:rsidRPr="00DF7388">
          <w:rPr>
            <w:noProof/>
            <w:webHidden/>
          </w:rPr>
          <w:t>12</w:t>
        </w:r>
        <w:r w:rsidR="00792500" w:rsidRPr="00DF7388">
          <w:rPr>
            <w:noProof/>
            <w:webHidden/>
          </w:rPr>
          <w:fldChar w:fldCharType="end"/>
        </w:r>
      </w:hyperlink>
    </w:p>
    <w:p w:rsidR="00DF7388" w:rsidRPr="00DF7388" w:rsidRDefault="00EE3E92" w:rsidP="00DF7388">
      <w:pPr>
        <w:pStyle w:val="TM3"/>
        <w:tabs>
          <w:tab w:val="left" w:pos="1100"/>
          <w:tab w:val="right" w:leader="dot" w:pos="9062"/>
        </w:tabs>
        <w:jc w:val="both"/>
        <w:rPr>
          <w:rFonts w:asciiTheme="minorHAnsi" w:eastAsiaTheme="minorEastAsia" w:hAnsiTheme="minorHAnsi" w:cstheme="minorBidi"/>
          <w:noProof/>
          <w:lang w:eastAsia="fr-FR"/>
        </w:rPr>
      </w:pPr>
      <w:hyperlink w:anchor="_Toc426359423" w:history="1">
        <w:r w:rsidR="00DF7388" w:rsidRPr="00DF7388">
          <w:rPr>
            <w:rStyle w:val="Lienhypertexte"/>
            <w:noProof/>
          </w:rPr>
          <w:t>1.2.</w:t>
        </w:r>
        <w:r w:rsidR="00DF7388" w:rsidRPr="00DF7388">
          <w:rPr>
            <w:rFonts w:asciiTheme="minorHAnsi" w:eastAsiaTheme="minorEastAsia" w:hAnsiTheme="minorHAnsi" w:cstheme="minorBidi"/>
            <w:noProof/>
            <w:lang w:eastAsia="fr-FR"/>
          </w:rPr>
          <w:tab/>
        </w:r>
        <w:r w:rsidR="00DF7388" w:rsidRPr="00DF7388">
          <w:rPr>
            <w:rStyle w:val="Lienhypertexte"/>
            <w:noProof/>
          </w:rPr>
          <w:t>Instruction scolaire et alphabétisation des chefs de ménage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_Toc426359423 \h </w:instrText>
        </w:r>
        <w:r w:rsidR="00792500" w:rsidRPr="00DF7388">
          <w:rPr>
            <w:noProof/>
            <w:webHidden/>
          </w:rPr>
        </w:r>
        <w:r w:rsidR="00792500" w:rsidRPr="00DF7388">
          <w:rPr>
            <w:noProof/>
            <w:webHidden/>
          </w:rPr>
          <w:fldChar w:fldCharType="separate"/>
        </w:r>
        <w:r w:rsidR="00DF7388" w:rsidRPr="00DF7388">
          <w:rPr>
            <w:noProof/>
            <w:webHidden/>
          </w:rPr>
          <w:t>13</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24" w:history="1">
        <w:r w:rsidR="00DF7388" w:rsidRPr="00DF7388">
          <w:rPr>
            <w:rStyle w:val="Lienhypertexte"/>
            <w:noProof/>
          </w:rPr>
          <w:t>1.2.1. Structure des ménages selon le plus haut niveau d’instruction du chef et suivant le département et le milieu de résidence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_Toc426359424 \h </w:instrText>
        </w:r>
        <w:r w:rsidR="00792500" w:rsidRPr="00DF7388">
          <w:rPr>
            <w:noProof/>
            <w:webHidden/>
          </w:rPr>
        </w:r>
        <w:r w:rsidR="00792500" w:rsidRPr="00DF7388">
          <w:rPr>
            <w:noProof/>
            <w:webHidden/>
          </w:rPr>
          <w:fldChar w:fldCharType="separate"/>
        </w:r>
        <w:r w:rsidR="00DF7388" w:rsidRPr="00DF7388">
          <w:rPr>
            <w:noProof/>
            <w:webHidden/>
          </w:rPr>
          <w:t>13</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25" w:history="1">
        <w:r w:rsidR="00DF7388" w:rsidRPr="00DF7388">
          <w:rPr>
            <w:rStyle w:val="Lienhypertexte"/>
            <w:noProof/>
          </w:rPr>
          <w:t>1.2.2. Structure des ménages selon le plus haut niveau d’instruction du chef et suivant leur sexe et leur âge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_Toc426359425 \h </w:instrText>
        </w:r>
        <w:r w:rsidR="00792500" w:rsidRPr="00DF7388">
          <w:rPr>
            <w:noProof/>
            <w:webHidden/>
          </w:rPr>
        </w:r>
        <w:r w:rsidR="00792500" w:rsidRPr="00DF7388">
          <w:rPr>
            <w:noProof/>
            <w:webHidden/>
          </w:rPr>
          <w:fldChar w:fldCharType="separate"/>
        </w:r>
        <w:r w:rsidR="00DF7388" w:rsidRPr="00DF7388">
          <w:rPr>
            <w:noProof/>
            <w:webHidden/>
          </w:rPr>
          <w:t>14</w:t>
        </w:r>
        <w:r w:rsidR="00792500" w:rsidRPr="00DF7388">
          <w:rPr>
            <w:noProof/>
            <w:webHidden/>
          </w:rPr>
          <w:fldChar w:fldCharType="end"/>
        </w:r>
      </w:hyperlink>
    </w:p>
    <w:p w:rsidR="00DF7388" w:rsidRPr="00DF7388" w:rsidRDefault="00EE3E92" w:rsidP="00DF7388">
      <w:pPr>
        <w:pStyle w:val="TM3"/>
        <w:tabs>
          <w:tab w:val="left" w:pos="1100"/>
          <w:tab w:val="right" w:leader="dot" w:pos="9062"/>
        </w:tabs>
        <w:jc w:val="both"/>
        <w:rPr>
          <w:rFonts w:asciiTheme="minorHAnsi" w:eastAsiaTheme="minorEastAsia" w:hAnsiTheme="minorHAnsi" w:cstheme="minorBidi"/>
          <w:noProof/>
          <w:lang w:eastAsia="fr-FR"/>
        </w:rPr>
      </w:pPr>
      <w:hyperlink w:anchor="_Toc426359426" w:history="1">
        <w:r w:rsidR="00DF7388" w:rsidRPr="00DF7388">
          <w:rPr>
            <w:rStyle w:val="Lienhypertexte"/>
            <w:noProof/>
          </w:rPr>
          <w:t>1.3.</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_Toc426359426 \h </w:instrText>
        </w:r>
        <w:r w:rsidR="00792500" w:rsidRPr="00DF7388">
          <w:rPr>
            <w:noProof/>
            <w:webHidden/>
          </w:rPr>
        </w:r>
        <w:r w:rsidR="00792500" w:rsidRPr="00DF7388">
          <w:rPr>
            <w:noProof/>
            <w:webHidden/>
          </w:rPr>
          <w:fldChar w:fldCharType="separate"/>
        </w:r>
        <w:r w:rsidR="00DF7388" w:rsidRPr="00DF7388">
          <w:rPr>
            <w:noProof/>
            <w:webHidden/>
          </w:rPr>
          <w:t>15</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27" w:history="1">
        <w:r w:rsidR="00DF7388" w:rsidRPr="00DF7388">
          <w:rPr>
            <w:rStyle w:val="Lienhypertexte"/>
            <w:noProof/>
          </w:rPr>
          <w:t>1.3.1.</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 suivant le département et le milieu de résidence</w:t>
        </w:r>
        <w:r w:rsidR="00DF7388" w:rsidRPr="00DF7388">
          <w:rPr>
            <w:noProof/>
            <w:webHidden/>
          </w:rPr>
          <w:tab/>
        </w:r>
        <w:r w:rsidR="00DF7388">
          <w:rPr>
            <w:noProof/>
            <w:webHidden/>
          </w:rPr>
          <w:tab/>
        </w:r>
        <w:r w:rsidR="00DF7388">
          <w:rPr>
            <w:noProof/>
            <w:webHidden/>
          </w:rPr>
          <w:tab/>
        </w:r>
        <w:r w:rsidR="00792500" w:rsidRPr="00DF7388">
          <w:rPr>
            <w:noProof/>
            <w:webHidden/>
          </w:rPr>
          <w:fldChar w:fldCharType="begin"/>
        </w:r>
        <w:r w:rsidR="00DF7388" w:rsidRPr="00DF7388">
          <w:rPr>
            <w:noProof/>
            <w:webHidden/>
          </w:rPr>
          <w:instrText xml:space="preserve"> PAGEREF _Toc426359427 \h </w:instrText>
        </w:r>
        <w:r w:rsidR="00792500" w:rsidRPr="00DF7388">
          <w:rPr>
            <w:noProof/>
            <w:webHidden/>
          </w:rPr>
        </w:r>
        <w:r w:rsidR="00792500" w:rsidRPr="00DF7388">
          <w:rPr>
            <w:noProof/>
            <w:webHidden/>
          </w:rPr>
          <w:fldChar w:fldCharType="separate"/>
        </w:r>
        <w:r w:rsidR="00DF7388" w:rsidRPr="00DF7388">
          <w:rPr>
            <w:noProof/>
            <w:webHidden/>
          </w:rPr>
          <w:t>15</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28" w:history="1">
        <w:r w:rsidR="00DF7388" w:rsidRPr="00DF7388">
          <w:rPr>
            <w:rStyle w:val="Lienhypertexte"/>
            <w:noProof/>
          </w:rPr>
          <w:t>1.3.2.</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 les caractéristiques sociodémographiques de leur chef</w:t>
        </w:r>
        <w:r w:rsidR="00DF7388" w:rsidRPr="00DF7388">
          <w:rPr>
            <w:noProof/>
            <w:webHidden/>
          </w:rPr>
          <w:tab/>
        </w:r>
        <w:r w:rsidR="00DF7388">
          <w:rPr>
            <w:noProof/>
            <w:webHidden/>
          </w:rPr>
          <w:tab/>
        </w:r>
        <w:r w:rsidR="00792500" w:rsidRPr="00DF7388">
          <w:rPr>
            <w:noProof/>
            <w:webHidden/>
          </w:rPr>
          <w:fldChar w:fldCharType="begin"/>
        </w:r>
        <w:r w:rsidR="00DF7388" w:rsidRPr="00DF7388">
          <w:rPr>
            <w:noProof/>
            <w:webHidden/>
          </w:rPr>
          <w:instrText xml:space="preserve"> PAGEREF _Toc426359428 \h </w:instrText>
        </w:r>
        <w:r w:rsidR="00792500" w:rsidRPr="00DF7388">
          <w:rPr>
            <w:noProof/>
            <w:webHidden/>
          </w:rPr>
        </w:r>
        <w:r w:rsidR="00792500" w:rsidRPr="00DF7388">
          <w:rPr>
            <w:noProof/>
            <w:webHidden/>
          </w:rPr>
          <w:fldChar w:fldCharType="separate"/>
        </w:r>
        <w:r w:rsidR="00DF7388" w:rsidRPr="00DF7388">
          <w:rPr>
            <w:noProof/>
            <w:webHidden/>
          </w:rPr>
          <w:t>16</w:t>
        </w:r>
        <w:r w:rsidR="00792500" w:rsidRPr="00DF7388">
          <w:rPr>
            <w:noProof/>
            <w:webHidden/>
          </w:rPr>
          <w:fldChar w:fldCharType="end"/>
        </w:r>
      </w:hyperlink>
    </w:p>
    <w:p w:rsidR="00DF7388" w:rsidRPr="00DF7388" w:rsidRDefault="00EE3E92" w:rsidP="00DF7388">
      <w:pPr>
        <w:pStyle w:val="TM3"/>
        <w:tabs>
          <w:tab w:val="left" w:pos="1100"/>
          <w:tab w:val="right" w:leader="dot" w:pos="9062"/>
        </w:tabs>
        <w:jc w:val="both"/>
        <w:rPr>
          <w:rFonts w:asciiTheme="minorHAnsi" w:eastAsiaTheme="minorEastAsia" w:hAnsiTheme="minorHAnsi" w:cstheme="minorBidi"/>
          <w:noProof/>
          <w:lang w:eastAsia="fr-FR"/>
        </w:rPr>
      </w:pPr>
      <w:hyperlink w:anchor="_Toc426359429" w:history="1">
        <w:r w:rsidR="00DF7388" w:rsidRPr="00DF7388">
          <w:rPr>
            <w:rStyle w:val="Lienhypertexte"/>
            <w:noProof/>
          </w:rPr>
          <w:t>1.4.</w:t>
        </w:r>
        <w:r w:rsidR="00DF7388" w:rsidRPr="00DF7388">
          <w:rPr>
            <w:rFonts w:asciiTheme="minorHAnsi" w:eastAsiaTheme="minorEastAsia" w:hAnsiTheme="minorHAnsi" w:cstheme="minorBidi"/>
            <w:noProof/>
            <w:lang w:eastAsia="fr-FR"/>
          </w:rPr>
          <w:tab/>
        </w:r>
        <w:r w:rsidR="00DF7388" w:rsidRPr="00DF7388">
          <w:rPr>
            <w:rStyle w:val="Lienhypertexte"/>
            <w:noProof/>
          </w:rPr>
          <w:t>Caractéristiques de l’habitat des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_Toc426359429 \h </w:instrText>
        </w:r>
        <w:r w:rsidR="00792500" w:rsidRPr="00DF7388">
          <w:rPr>
            <w:noProof/>
            <w:webHidden/>
          </w:rPr>
        </w:r>
        <w:r w:rsidR="00792500" w:rsidRPr="00DF7388">
          <w:rPr>
            <w:noProof/>
            <w:webHidden/>
          </w:rPr>
          <w:fldChar w:fldCharType="separate"/>
        </w:r>
        <w:r w:rsidR="00DF7388" w:rsidRPr="00DF7388">
          <w:rPr>
            <w:noProof/>
            <w:webHidden/>
          </w:rPr>
          <w:t>18</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0" w:history="1">
        <w:r w:rsidR="00DF7388" w:rsidRPr="00DF7388">
          <w:rPr>
            <w:rStyle w:val="Lienhypertexte"/>
            <w:noProof/>
          </w:rPr>
          <w:t>1.4.1.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type de logement utilisé suivant le milieu de résidence et le sexe du chef de ménage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_Toc426359430 \h </w:instrText>
        </w:r>
        <w:r w:rsidR="00792500" w:rsidRPr="00DF7388">
          <w:rPr>
            <w:noProof/>
            <w:webHidden/>
          </w:rPr>
        </w:r>
        <w:r w:rsidR="00792500" w:rsidRPr="00DF7388">
          <w:rPr>
            <w:noProof/>
            <w:webHidden/>
          </w:rPr>
          <w:fldChar w:fldCharType="separate"/>
        </w:r>
        <w:r w:rsidR="00DF7388" w:rsidRPr="00DF7388">
          <w:rPr>
            <w:noProof/>
            <w:webHidden/>
          </w:rPr>
          <w:t>18</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1" w:history="1">
        <w:r w:rsidR="00DF7388" w:rsidRPr="00DF7388">
          <w:rPr>
            <w:rStyle w:val="Lienhypertexte"/>
            <w:noProof/>
          </w:rPr>
          <w:t>1.4.2.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statut d’occupation du logement</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_Toc426359431 \h </w:instrText>
        </w:r>
        <w:r w:rsidR="00792500" w:rsidRPr="00DF7388">
          <w:rPr>
            <w:noProof/>
            <w:webHidden/>
          </w:rPr>
        </w:r>
        <w:r w:rsidR="00792500" w:rsidRPr="00DF7388">
          <w:rPr>
            <w:noProof/>
            <w:webHidden/>
          </w:rPr>
          <w:fldChar w:fldCharType="separate"/>
        </w:r>
        <w:r w:rsidR="00DF7388" w:rsidRPr="00DF7388">
          <w:rPr>
            <w:noProof/>
            <w:webHidden/>
          </w:rPr>
          <w:t>19</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2" w:history="1">
        <w:r w:rsidR="00DF7388" w:rsidRPr="00DF7388">
          <w:rPr>
            <w:rStyle w:val="Lienhypertexte"/>
            <w:noProof/>
          </w:rPr>
          <w:t>1.4.3.</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nombre de pièces et les caractéristiques de logement</w:t>
        </w:r>
        <w:r w:rsidR="00DF7388" w:rsidRPr="00DF7388">
          <w:rPr>
            <w:noProof/>
            <w:webHidden/>
          </w:rPr>
          <w:tab/>
        </w:r>
        <w:r w:rsidR="00DF7388">
          <w:rPr>
            <w:noProof/>
            <w:webHidden/>
          </w:rPr>
          <w:tab/>
        </w:r>
        <w:r w:rsidR="00792500" w:rsidRPr="00DF7388">
          <w:rPr>
            <w:noProof/>
            <w:webHidden/>
          </w:rPr>
          <w:fldChar w:fldCharType="begin"/>
        </w:r>
        <w:r w:rsidR="00DF7388" w:rsidRPr="00DF7388">
          <w:rPr>
            <w:noProof/>
            <w:webHidden/>
          </w:rPr>
          <w:instrText xml:space="preserve"> PAGEREF _Toc426359432 \h </w:instrText>
        </w:r>
        <w:r w:rsidR="00792500" w:rsidRPr="00DF7388">
          <w:rPr>
            <w:noProof/>
            <w:webHidden/>
          </w:rPr>
        </w:r>
        <w:r w:rsidR="00792500" w:rsidRPr="00DF7388">
          <w:rPr>
            <w:noProof/>
            <w:webHidden/>
          </w:rPr>
          <w:fldChar w:fldCharType="separate"/>
        </w:r>
        <w:r w:rsidR="00DF7388" w:rsidRPr="00DF7388">
          <w:rPr>
            <w:noProof/>
            <w:webHidden/>
          </w:rPr>
          <w:t>20</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3" w:history="1">
        <w:r w:rsidR="00DF7388" w:rsidRPr="00DF7388">
          <w:rPr>
            <w:rStyle w:val="Lienhypertexte"/>
            <w:noProof/>
          </w:rPr>
          <w:t>1.4.4.</w:t>
        </w:r>
        <w:r w:rsidR="00DF7388" w:rsidRPr="00DF7388">
          <w:rPr>
            <w:rFonts w:asciiTheme="minorHAnsi" w:eastAsiaTheme="minorEastAsia" w:hAnsiTheme="minorHAnsi" w:cstheme="minorBidi"/>
            <w:noProof/>
            <w:lang w:eastAsia="fr-FR"/>
          </w:rPr>
          <w:tab/>
        </w:r>
        <w:r w:rsidR="00DF7388" w:rsidRPr="00DF7388">
          <w:rPr>
            <w:rStyle w:val="Lienhypertexte"/>
            <w:noProof/>
          </w:rPr>
          <w:t>Nombre moyen de pièces dans le logement et moyen de pièces utilisé pour dormir</w:t>
        </w:r>
        <w:r w:rsidR="00DF7388" w:rsidRPr="00DF7388">
          <w:rPr>
            <w:noProof/>
            <w:webHidden/>
          </w:rPr>
          <w:tab/>
        </w:r>
        <w:r w:rsidR="00DF7388">
          <w:rPr>
            <w:noProof/>
            <w:webHidden/>
          </w:rPr>
          <w:tab/>
        </w:r>
        <w:r w:rsidR="00DF7388">
          <w:rPr>
            <w:noProof/>
            <w:webHidden/>
          </w:rPr>
          <w:tab/>
        </w:r>
        <w:r w:rsidR="00792500" w:rsidRPr="00DF7388">
          <w:rPr>
            <w:noProof/>
            <w:webHidden/>
          </w:rPr>
          <w:fldChar w:fldCharType="begin"/>
        </w:r>
        <w:r w:rsidR="00DF7388" w:rsidRPr="00DF7388">
          <w:rPr>
            <w:noProof/>
            <w:webHidden/>
          </w:rPr>
          <w:instrText xml:space="preserve"> PAGEREF _Toc426359433 \h </w:instrText>
        </w:r>
        <w:r w:rsidR="00792500" w:rsidRPr="00DF7388">
          <w:rPr>
            <w:noProof/>
            <w:webHidden/>
          </w:rPr>
        </w:r>
        <w:r w:rsidR="00792500" w:rsidRPr="00DF7388">
          <w:rPr>
            <w:noProof/>
            <w:webHidden/>
          </w:rPr>
          <w:fldChar w:fldCharType="separate"/>
        </w:r>
        <w:r w:rsidR="00DF7388" w:rsidRPr="00DF7388">
          <w:rPr>
            <w:noProof/>
            <w:webHidden/>
          </w:rPr>
          <w:t>21</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4" w:history="1">
        <w:r w:rsidR="00DF7388" w:rsidRPr="00DF7388">
          <w:rPr>
            <w:rStyle w:val="Lienhypertexte"/>
            <w:noProof/>
          </w:rPr>
          <w:t>1.4.5.</w:t>
        </w:r>
        <w:r w:rsidR="00DF7388" w:rsidRPr="00DF7388">
          <w:rPr>
            <w:rFonts w:asciiTheme="minorHAnsi" w:eastAsiaTheme="minorEastAsia" w:hAnsiTheme="minorHAnsi" w:cstheme="minorBidi"/>
            <w:noProof/>
            <w:lang w:eastAsia="fr-FR"/>
          </w:rPr>
          <w:tab/>
        </w:r>
        <w:r w:rsidR="00DF7388" w:rsidRPr="00DF7388">
          <w:rPr>
            <w:rStyle w:val="Lienhypertexte"/>
            <w:noProof/>
          </w:rPr>
          <w:t>Loyer mensuel moyen payé par les ménages locataires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_Toc426359434 \h </w:instrText>
        </w:r>
        <w:r w:rsidR="00792500" w:rsidRPr="00DF7388">
          <w:rPr>
            <w:noProof/>
            <w:webHidden/>
          </w:rPr>
        </w:r>
        <w:r w:rsidR="00792500" w:rsidRPr="00DF7388">
          <w:rPr>
            <w:noProof/>
            <w:webHidden/>
          </w:rPr>
          <w:fldChar w:fldCharType="separate"/>
        </w:r>
        <w:r w:rsidR="00DF7388" w:rsidRPr="00DF7388">
          <w:rPr>
            <w:noProof/>
            <w:webHidden/>
          </w:rPr>
          <w:t>22</w:t>
        </w:r>
        <w:r w:rsidR="00792500" w:rsidRPr="00DF7388">
          <w:rPr>
            <w:noProof/>
            <w:webHidden/>
          </w:rPr>
          <w:fldChar w:fldCharType="end"/>
        </w:r>
      </w:hyperlink>
    </w:p>
    <w:p w:rsidR="00DF7388" w:rsidRPr="00DF7388" w:rsidRDefault="00EE3E92" w:rsidP="00DF7388">
      <w:pPr>
        <w:pStyle w:val="TM3"/>
        <w:tabs>
          <w:tab w:val="left" w:pos="1100"/>
          <w:tab w:val="right" w:leader="dot" w:pos="9062"/>
        </w:tabs>
        <w:jc w:val="both"/>
        <w:rPr>
          <w:rFonts w:asciiTheme="minorHAnsi" w:eastAsiaTheme="minorEastAsia" w:hAnsiTheme="minorHAnsi" w:cstheme="minorBidi"/>
          <w:noProof/>
          <w:lang w:eastAsia="fr-FR"/>
        </w:rPr>
      </w:pPr>
      <w:hyperlink w:anchor="_Toc426359435" w:history="1">
        <w:r w:rsidR="00DF7388" w:rsidRPr="00DF7388">
          <w:rPr>
            <w:rStyle w:val="Lienhypertexte"/>
            <w:noProof/>
          </w:rPr>
          <w:t>1.5.</w:t>
        </w:r>
        <w:r w:rsidR="00DF7388" w:rsidRPr="00DF7388">
          <w:rPr>
            <w:rFonts w:asciiTheme="minorHAnsi" w:eastAsiaTheme="minorEastAsia" w:hAnsiTheme="minorHAnsi" w:cstheme="minorBidi"/>
            <w:noProof/>
            <w:lang w:eastAsia="fr-FR"/>
          </w:rPr>
          <w:tab/>
        </w:r>
        <w:r w:rsidR="00DF7388" w:rsidRPr="00DF7388">
          <w:rPr>
            <w:rStyle w:val="Lienhypertexte"/>
            <w:noProof/>
          </w:rPr>
          <w:t>Situation d’emploi, moyens d’existence et biens possédés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_Toc426359435 \h </w:instrText>
        </w:r>
        <w:r w:rsidR="00792500" w:rsidRPr="00DF7388">
          <w:rPr>
            <w:noProof/>
            <w:webHidden/>
          </w:rPr>
        </w:r>
        <w:r w:rsidR="00792500" w:rsidRPr="00DF7388">
          <w:rPr>
            <w:noProof/>
            <w:webHidden/>
          </w:rPr>
          <w:fldChar w:fldCharType="separate"/>
        </w:r>
        <w:r w:rsidR="00DF7388" w:rsidRPr="00DF7388">
          <w:rPr>
            <w:noProof/>
            <w:webHidden/>
          </w:rPr>
          <w:t>24</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6" w:history="1">
        <w:r w:rsidR="00DF7388" w:rsidRPr="00DF7388">
          <w:rPr>
            <w:rStyle w:val="Lienhypertexte"/>
            <w:noProof/>
          </w:rPr>
          <w:t>1.5.1.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la situation d’activité de leur chef suivant le département et le milieu de résidence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_Toc426359436 \h </w:instrText>
        </w:r>
        <w:r w:rsidR="00792500" w:rsidRPr="00DF7388">
          <w:rPr>
            <w:noProof/>
            <w:webHidden/>
          </w:rPr>
        </w:r>
        <w:r w:rsidR="00792500" w:rsidRPr="00DF7388">
          <w:rPr>
            <w:noProof/>
            <w:webHidden/>
          </w:rPr>
          <w:fldChar w:fldCharType="separate"/>
        </w:r>
        <w:r w:rsidR="00DF7388" w:rsidRPr="00DF7388">
          <w:rPr>
            <w:noProof/>
            <w:webHidden/>
          </w:rPr>
          <w:t>24</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7" w:history="1">
        <w:r w:rsidR="00DF7388" w:rsidRPr="00DF7388">
          <w:rPr>
            <w:rStyle w:val="Lienhypertexte"/>
            <w:noProof/>
          </w:rPr>
          <w:t>1.5.2.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la situation d’activité de leur chef suivant leur sexe, leur groupe d’âge et leur niveau d’instruction</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_Toc426359437 \h </w:instrText>
        </w:r>
        <w:r w:rsidR="00792500" w:rsidRPr="00DF7388">
          <w:rPr>
            <w:noProof/>
            <w:webHidden/>
          </w:rPr>
        </w:r>
        <w:r w:rsidR="00792500" w:rsidRPr="00DF7388">
          <w:rPr>
            <w:noProof/>
            <w:webHidden/>
          </w:rPr>
          <w:fldChar w:fldCharType="separate"/>
        </w:r>
        <w:r w:rsidR="00DF7388" w:rsidRPr="00DF7388">
          <w:rPr>
            <w:noProof/>
            <w:webHidden/>
          </w:rPr>
          <w:t>26</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8" w:history="1">
        <w:r w:rsidR="00DF7388" w:rsidRPr="00DF7388">
          <w:rPr>
            <w:rStyle w:val="Lienhypertexte"/>
            <w:noProof/>
          </w:rPr>
          <w:t>1.5.3.</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chefs de ménage occupés selon la branche d’activité et suivant le département et le milieu de résidence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_Toc426359438 \h </w:instrText>
        </w:r>
        <w:r w:rsidR="00792500" w:rsidRPr="00DF7388">
          <w:rPr>
            <w:noProof/>
            <w:webHidden/>
          </w:rPr>
        </w:r>
        <w:r w:rsidR="00792500" w:rsidRPr="00DF7388">
          <w:rPr>
            <w:noProof/>
            <w:webHidden/>
          </w:rPr>
          <w:fldChar w:fldCharType="separate"/>
        </w:r>
        <w:r w:rsidR="00DF7388" w:rsidRPr="00DF7388">
          <w:rPr>
            <w:noProof/>
            <w:webHidden/>
          </w:rPr>
          <w:t>28</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39" w:history="1">
        <w:r w:rsidR="00DF7388" w:rsidRPr="00DF7388">
          <w:rPr>
            <w:rStyle w:val="Lienhypertexte"/>
            <w:noProof/>
          </w:rPr>
          <w:t>1.5.4.</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chefs de ménage occupés selon la branche d’activité et suivant leur sexe, leur groupe d’âge et leur niveau d’instruction</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_Toc426359439 \h </w:instrText>
        </w:r>
        <w:r w:rsidR="00792500" w:rsidRPr="00DF7388">
          <w:rPr>
            <w:noProof/>
            <w:webHidden/>
          </w:rPr>
        </w:r>
        <w:r w:rsidR="00792500" w:rsidRPr="00DF7388">
          <w:rPr>
            <w:noProof/>
            <w:webHidden/>
          </w:rPr>
          <w:fldChar w:fldCharType="separate"/>
        </w:r>
        <w:r w:rsidR="00DF7388" w:rsidRPr="00DF7388">
          <w:rPr>
            <w:noProof/>
            <w:webHidden/>
          </w:rPr>
          <w:t>29</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40" w:history="1">
        <w:r w:rsidR="00DF7388" w:rsidRPr="00DF7388">
          <w:rPr>
            <w:rStyle w:val="Lienhypertexte"/>
            <w:noProof/>
          </w:rPr>
          <w:t>1.5.5.</w:t>
        </w:r>
        <w:r w:rsidR="00DF7388" w:rsidRPr="00DF7388">
          <w:rPr>
            <w:rFonts w:asciiTheme="minorHAnsi" w:eastAsiaTheme="minorEastAsia" w:hAnsiTheme="minorHAnsi" w:cstheme="minorBidi"/>
            <w:noProof/>
            <w:lang w:eastAsia="fr-FR"/>
          </w:rPr>
          <w:tab/>
        </w:r>
        <w:r w:rsidR="00DF7388" w:rsidRPr="00DF7388">
          <w:rPr>
            <w:rStyle w:val="Lienhypertexte"/>
            <w:noProof/>
          </w:rPr>
          <w:t>Revenus mensuels des chefs de ménage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_Toc426359440 \h </w:instrText>
        </w:r>
        <w:r w:rsidR="00792500" w:rsidRPr="00DF7388">
          <w:rPr>
            <w:noProof/>
            <w:webHidden/>
          </w:rPr>
        </w:r>
        <w:r w:rsidR="00792500" w:rsidRPr="00DF7388">
          <w:rPr>
            <w:noProof/>
            <w:webHidden/>
          </w:rPr>
          <w:fldChar w:fldCharType="separate"/>
        </w:r>
        <w:r w:rsidR="00DF7388" w:rsidRPr="00DF7388">
          <w:rPr>
            <w:noProof/>
            <w:webHidden/>
          </w:rPr>
          <w:t>31</w:t>
        </w:r>
        <w:r w:rsidR="00792500" w:rsidRPr="00DF7388">
          <w:rPr>
            <w:noProof/>
            <w:webHidden/>
          </w:rPr>
          <w:fldChar w:fldCharType="end"/>
        </w:r>
      </w:hyperlink>
    </w:p>
    <w:p w:rsidR="00DF7388" w:rsidRPr="00DF7388" w:rsidRDefault="00EE3E92" w:rsidP="00DF7388">
      <w:pPr>
        <w:pStyle w:val="TM4"/>
        <w:tabs>
          <w:tab w:val="left" w:pos="1540"/>
          <w:tab w:val="right" w:leader="dot" w:pos="9062"/>
        </w:tabs>
        <w:jc w:val="both"/>
        <w:rPr>
          <w:rFonts w:asciiTheme="minorHAnsi" w:eastAsiaTheme="minorEastAsia" w:hAnsiTheme="minorHAnsi" w:cstheme="minorBidi"/>
          <w:noProof/>
          <w:lang w:eastAsia="fr-FR"/>
        </w:rPr>
      </w:pPr>
      <w:hyperlink w:anchor="_Toc426359441" w:history="1">
        <w:r w:rsidR="00DF7388" w:rsidRPr="00DF7388">
          <w:rPr>
            <w:rStyle w:val="Lienhypertexte"/>
            <w:noProof/>
          </w:rPr>
          <w:t>1.5.6.</w:t>
        </w:r>
        <w:r w:rsidR="00DF7388" w:rsidRPr="00DF7388">
          <w:rPr>
            <w:rFonts w:asciiTheme="minorHAnsi" w:eastAsiaTheme="minorEastAsia" w:hAnsiTheme="minorHAnsi" w:cstheme="minorBidi"/>
            <w:noProof/>
            <w:lang w:eastAsia="fr-FR"/>
          </w:rPr>
          <w:tab/>
        </w:r>
        <w:r w:rsidR="00DF7388" w:rsidRPr="00DF7388">
          <w:rPr>
            <w:rStyle w:val="Lienhypertexte"/>
            <w:noProof/>
          </w:rPr>
          <w:t>Epargne mensuelle moyen des chefs de ménage et mode d’épargne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_Toc426359441 \h </w:instrText>
        </w:r>
        <w:r w:rsidR="00792500" w:rsidRPr="00DF7388">
          <w:rPr>
            <w:noProof/>
            <w:webHidden/>
          </w:rPr>
        </w:r>
        <w:r w:rsidR="00792500" w:rsidRPr="00DF7388">
          <w:rPr>
            <w:noProof/>
            <w:webHidden/>
          </w:rPr>
          <w:fldChar w:fldCharType="separate"/>
        </w:r>
        <w:r w:rsidR="00DF7388" w:rsidRPr="00DF7388">
          <w:rPr>
            <w:noProof/>
            <w:webHidden/>
          </w:rPr>
          <w:t>33</w:t>
        </w:r>
        <w:r w:rsidR="00792500" w:rsidRPr="00DF7388">
          <w:rPr>
            <w:noProof/>
            <w:webHidden/>
          </w:rPr>
          <w:fldChar w:fldCharType="end"/>
        </w:r>
      </w:hyperlink>
    </w:p>
    <w:p w:rsidR="00DF7388" w:rsidRPr="00DF7388" w:rsidRDefault="00EE3E92" w:rsidP="00DF7388">
      <w:pPr>
        <w:pStyle w:val="TM2"/>
        <w:tabs>
          <w:tab w:val="right" w:leader="dot" w:pos="9062"/>
        </w:tabs>
        <w:jc w:val="both"/>
        <w:rPr>
          <w:rFonts w:asciiTheme="minorHAnsi" w:eastAsiaTheme="minorEastAsia" w:hAnsiTheme="minorHAnsi" w:cstheme="minorBidi"/>
          <w:noProof/>
          <w:lang w:eastAsia="fr-FR"/>
        </w:rPr>
      </w:pPr>
      <w:hyperlink w:anchor="_Toc426359442" w:history="1">
        <w:r w:rsidR="00DF7388" w:rsidRPr="00DF7388">
          <w:rPr>
            <w:rStyle w:val="Lienhypertexte"/>
            <w:noProof/>
          </w:rPr>
          <w:t>CHAPITRE 2 : UTILISATION DE L’ENERGIE PAR LES MENAGES ET ADEQUATION AVEC LES BESOINS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_Toc426359442 \h </w:instrText>
        </w:r>
        <w:r w:rsidR="00792500" w:rsidRPr="00DF7388">
          <w:rPr>
            <w:noProof/>
            <w:webHidden/>
          </w:rPr>
        </w:r>
        <w:r w:rsidR="00792500" w:rsidRPr="00DF7388">
          <w:rPr>
            <w:noProof/>
            <w:webHidden/>
          </w:rPr>
          <w:fldChar w:fldCharType="separate"/>
        </w:r>
        <w:r w:rsidR="00DF7388" w:rsidRPr="00DF7388">
          <w:rPr>
            <w:noProof/>
            <w:webHidden/>
          </w:rPr>
          <w:t>35</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43" w:history="1">
        <w:r w:rsidR="00DF7388" w:rsidRPr="00DF7388">
          <w:rPr>
            <w:rStyle w:val="Lienhypertexte"/>
            <w:noProof/>
          </w:rPr>
          <w:t>2.1. Accès à l’électricité et sources d’énergie utilisées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_Toc426359443 \h </w:instrText>
        </w:r>
        <w:r w:rsidR="00792500" w:rsidRPr="00DF7388">
          <w:rPr>
            <w:noProof/>
            <w:webHidden/>
          </w:rPr>
        </w:r>
        <w:r w:rsidR="00792500" w:rsidRPr="00DF7388">
          <w:rPr>
            <w:noProof/>
            <w:webHidden/>
          </w:rPr>
          <w:fldChar w:fldCharType="separate"/>
        </w:r>
        <w:r w:rsidR="00DF7388" w:rsidRPr="00DF7388">
          <w:rPr>
            <w:noProof/>
            <w:webHidden/>
          </w:rPr>
          <w:t>35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44" w:history="1">
        <w:r w:rsidR="00DF7388" w:rsidRPr="00DF7388">
          <w:rPr>
            <w:rStyle w:val="Lienhypertexte"/>
            <w:noProof/>
          </w:rPr>
          <w:t>2.1.1. Connexion au réseau électrique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_Toc426359444 \h </w:instrText>
        </w:r>
        <w:r w:rsidR="00792500" w:rsidRPr="00DF7388">
          <w:rPr>
            <w:noProof/>
            <w:webHidden/>
          </w:rPr>
        </w:r>
        <w:r w:rsidR="00792500" w:rsidRPr="00DF7388">
          <w:rPr>
            <w:noProof/>
            <w:webHidden/>
          </w:rPr>
          <w:fldChar w:fldCharType="separate"/>
        </w:r>
        <w:r w:rsidR="00DF7388" w:rsidRPr="00DF7388">
          <w:rPr>
            <w:noProof/>
            <w:webHidden/>
          </w:rPr>
          <w:t>35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45" w:history="1">
        <w:r w:rsidR="00DF7388" w:rsidRPr="00DF7388">
          <w:rPr>
            <w:rStyle w:val="Lienhypertexte"/>
            <w:noProof/>
          </w:rPr>
          <w:t>2.1.2. Différentes sources d’énergie utilisées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_Toc426359445 \h </w:instrText>
        </w:r>
        <w:r w:rsidR="00792500" w:rsidRPr="00DF7388">
          <w:rPr>
            <w:noProof/>
            <w:webHidden/>
          </w:rPr>
        </w:r>
        <w:r w:rsidR="00792500" w:rsidRPr="00DF7388">
          <w:rPr>
            <w:noProof/>
            <w:webHidden/>
          </w:rPr>
          <w:fldChar w:fldCharType="separate"/>
        </w:r>
        <w:r w:rsidR="00DF7388" w:rsidRPr="00DF7388">
          <w:rPr>
            <w:noProof/>
            <w:webHidden/>
          </w:rPr>
          <w:t>38</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46" w:history="1">
        <w:r w:rsidR="00DF7388" w:rsidRPr="00DF7388">
          <w:rPr>
            <w:rStyle w:val="Lienhypertexte"/>
            <w:noProof/>
          </w:rPr>
          <w:t>2.1.3. Utilisation simultanée de sources d’énergie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_Toc426359446 \h </w:instrText>
        </w:r>
        <w:r w:rsidR="00792500" w:rsidRPr="00DF7388">
          <w:rPr>
            <w:noProof/>
            <w:webHidden/>
          </w:rPr>
        </w:r>
        <w:r w:rsidR="00792500" w:rsidRPr="00DF7388">
          <w:rPr>
            <w:noProof/>
            <w:webHidden/>
          </w:rPr>
          <w:fldChar w:fldCharType="separate"/>
        </w:r>
        <w:r w:rsidR="00DF7388" w:rsidRPr="00DF7388">
          <w:rPr>
            <w:noProof/>
            <w:webHidden/>
          </w:rPr>
          <w:t>41</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47" w:history="1">
        <w:r w:rsidR="00DF7388" w:rsidRPr="00DF7388">
          <w:rPr>
            <w:rStyle w:val="Lienhypertexte"/>
            <w:noProof/>
          </w:rPr>
          <w:t>2.1.4. Source d’énergie utilisée simultanément avec l’électricité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_Toc426359447 \h </w:instrText>
        </w:r>
        <w:r w:rsidR="00792500" w:rsidRPr="00DF7388">
          <w:rPr>
            <w:noProof/>
            <w:webHidden/>
          </w:rPr>
        </w:r>
        <w:r w:rsidR="00792500" w:rsidRPr="00DF7388">
          <w:rPr>
            <w:noProof/>
            <w:webHidden/>
          </w:rPr>
          <w:fldChar w:fldCharType="separate"/>
        </w:r>
        <w:r w:rsidR="00DF7388" w:rsidRPr="00DF7388">
          <w:rPr>
            <w:noProof/>
            <w:webHidden/>
          </w:rPr>
          <w:t>42</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48" w:history="1">
        <w:r w:rsidR="00DF7388" w:rsidRPr="00DF7388">
          <w:rPr>
            <w:rStyle w:val="Lienhypertexte"/>
            <w:noProof/>
          </w:rPr>
          <w:t>2.1.5. Source d’énergie alternative utilisée en cas de coupure d’électricité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_Toc426359448 \h </w:instrText>
        </w:r>
        <w:r w:rsidR="00792500" w:rsidRPr="00DF7388">
          <w:rPr>
            <w:noProof/>
            <w:webHidden/>
          </w:rPr>
        </w:r>
        <w:r w:rsidR="00792500" w:rsidRPr="00DF7388">
          <w:rPr>
            <w:noProof/>
            <w:webHidden/>
          </w:rPr>
          <w:fldChar w:fldCharType="separate"/>
        </w:r>
        <w:r w:rsidR="00DF7388" w:rsidRPr="00DF7388">
          <w:rPr>
            <w:noProof/>
            <w:webHidden/>
          </w:rPr>
          <w:t>45</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49" w:history="1">
        <w:r w:rsidR="00DF7388" w:rsidRPr="00DF7388">
          <w:rPr>
            <w:rStyle w:val="Lienhypertexte"/>
            <w:noProof/>
          </w:rPr>
          <w:t>2.2. Distribution de l’énergie à d’autres usagers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_Toc426359449 \h </w:instrText>
        </w:r>
        <w:r w:rsidR="00792500" w:rsidRPr="00DF7388">
          <w:rPr>
            <w:noProof/>
            <w:webHidden/>
          </w:rPr>
        </w:r>
        <w:r w:rsidR="00792500" w:rsidRPr="00DF7388">
          <w:rPr>
            <w:noProof/>
            <w:webHidden/>
          </w:rPr>
          <w:fldChar w:fldCharType="separate"/>
        </w:r>
        <w:r w:rsidR="00DF7388" w:rsidRPr="00DF7388">
          <w:rPr>
            <w:noProof/>
            <w:webHidden/>
          </w:rPr>
          <w:t>45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0" w:history="1">
        <w:r w:rsidR="00DF7388" w:rsidRPr="00DF7388">
          <w:rPr>
            <w:rStyle w:val="Lienhypertexte"/>
            <w:noProof/>
          </w:rPr>
          <w:t>2.2.1. Distribution de l’électricité de la ligne directe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_Toc426359450 \h </w:instrText>
        </w:r>
        <w:r w:rsidR="00792500" w:rsidRPr="00DF7388">
          <w:rPr>
            <w:noProof/>
            <w:webHidden/>
          </w:rPr>
        </w:r>
        <w:r w:rsidR="00792500" w:rsidRPr="00DF7388">
          <w:rPr>
            <w:noProof/>
            <w:webHidden/>
          </w:rPr>
          <w:fldChar w:fldCharType="separate"/>
        </w:r>
        <w:r w:rsidR="00DF7388" w:rsidRPr="00DF7388">
          <w:rPr>
            <w:noProof/>
            <w:webHidden/>
          </w:rPr>
          <w:t>45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1" w:history="1">
        <w:r w:rsidR="00DF7388" w:rsidRPr="00DF7388">
          <w:rPr>
            <w:rStyle w:val="Lienhypertexte"/>
            <w:noProof/>
          </w:rPr>
          <w:t>2.2.2. Connexion des ménages à la ligne sous-traitée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_Toc426359451 \h </w:instrText>
        </w:r>
        <w:r w:rsidR="00792500" w:rsidRPr="00DF7388">
          <w:rPr>
            <w:noProof/>
            <w:webHidden/>
          </w:rPr>
        </w:r>
        <w:r w:rsidR="00792500" w:rsidRPr="00DF7388">
          <w:rPr>
            <w:noProof/>
            <w:webHidden/>
          </w:rPr>
          <w:fldChar w:fldCharType="separate"/>
        </w:r>
        <w:r w:rsidR="00DF7388" w:rsidRPr="00DF7388">
          <w:rPr>
            <w:noProof/>
            <w:webHidden/>
          </w:rPr>
          <w:t>47</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2" w:history="1">
        <w:r w:rsidR="00DF7388" w:rsidRPr="00DF7388">
          <w:rPr>
            <w:rStyle w:val="Lienhypertexte"/>
            <w:noProof/>
          </w:rPr>
          <w:t>2.2.3. Redistribution de l’électricité par les ménages connectés à la ligne sous-traitée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_Toc426359452 \h </w:instrText>
        </w:r>
        <w:r w:rsidR="00792500" w:rsidRPr="00DF7388">
          <w:rPr>
            <w:noProof/>
            <w:webHidden/>
          </w:rPr>
        </w:r>
        <w:r w:rsidR="00792500" w:rsidRPr="00DF7388">
          <w:rPr>
            <w:noProof/>
            <w:webHidden/>
          </w:rPr>
          <w:fldChar w:fldCharType="separate"/>
        </w:r>
        <w:r w:rsidR="00DF7388" w:rsidRPr="00DF7388">
          <w:rPr>
            <w:noProof/>
            <w:webHidden/>
          </w:rPr>
          <w:t>48</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53" w:history="1">
        <w:r w:rsidR="00DF7388" w:rsidRPr="00DF7388">
          <w:rPr>
            <w:rStyle w:val="Lienhypertexte"/>
            <w:noProof/>
          </w:rPr>
          <w:t>2.3. Utilisations faites des différentes sources d’énergie et dépenses en énergie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_Toc426359453 \h </w:instrText>
        </w:r>
        <w:r w:rsidR="00792500" w:rsidRPr="00DF7388">
          <w:rPr>
            <w:noProof/>
            <w:webHidden/>
          </w:rPr>
        </w:r>
        <w:r w:rsidR="00792500" w:rsidRPr="00DF7388">
          <w:rPr>
            <w:noProof/>
            <w:webHidden/>
          </w:rPr>
          <w:fldChar w:fldCharType="separate"/>
        </w:r>
        <w:r w:rsidR="00DF7388" w:rsidRPr="00DF7388">
          <w:rPr>
            <w:noProof/>
            <w:webHidden/>
          </w:rPr>
          <w:t>49</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4" w:history="1">
        <w:r w:rsidR="00DF7388" w:rsidRPr="00DF7388">
          <w:rPr>
            <w:rStyle w:val="Lienhypertexte"/>
            <w:noProof/>
          </w:rPr>
          <w:t>2.3.1. Utilisation des sources d’énergie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_Toc426359454 \h </w:instrText>
        </w:r>
        <w:r w:rsidR="00792500" w:rsidRPr="00DF7388">
          <w:rPr>
            <w:noProof/>
            <w:webHidden/>
          </w:rPr>
        </w:r>
        <w:r w:rsidR="00792500" w:rsidRPr="00DF7388">
          <w:rPr>
            <w:noProof/>
            <w:webHidden/>
          </w:rPr>
          <w:fldChar w:fldCharType="separate"/>
        </w:r>
        <w:r w:rsidR="00DF7388" w:rsidRPr="00DF7388">
          <w:rPr>
            <w:noProof/>
            <w:webHidden/>
          </w:rPr>
          <w:t>49</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5" w:history="1">
        <w:r w:rsidR="00DF7388" w:rsidRPr="00DF7388">
          <w:rPr>
            <w:rStyle w:val="Lienhypertexte"/>
            <w:noProof/>
          </w:rPr>
          <w:t>2.3.2. Dépenses en énergies effectuées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_Toc426359455 \h </w:instrText>
        </w:r>
        <w:r w:rsidR="00792500" w:rsidRPr="00DF7388">
          <w:rPr>
            <w:noProof/>
            <w:webHidden/>
          </w:rPr>
        </w:r>
        <w:r w:rsidR="00792500" w:rsidRPr="00DF7388">
          <w:rPr>
            <w:noProof/>
            <w:webHidden/>
          </w:rPr>
          <w:fldChar w:fldCharType="separate"/>
        </w:r>
        <w:r w:rsidR="00DF7388" w:rsidRPr="00DF7388">
          <w:rPr>
            <w:noProof/>
            <w:webHidden/>
          </w:rPr>
          <w:t>51</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56" w:history="1">
        <w:r w:rsidR="00DF7388" w:rsidRPr="00DF7388">
          <w:rPr>
            <w:rStyle w:val="Lienhypertexte"/>
            <w:noProof/>
          </w:rPr>
          <w:t>2.4. Disponibilité de l’énergie électrique et couverture des besoins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_Toc426359456 \h </w:instrText>
        </w:r>
        <w:r w:rsidR="00792500" w:rsidRPr="00DF7388">
          <w:rPr>
            <w:noProof/>
            <w:webHidden/>
          </w:rPr>
        </w:r>
        <w:r w:rsidR="00792500" w:rsidRPr="00DF7388">
          <w:rPr>
            <w:noProof/>
            <w:webHidden/>
          </w:rPr>
          <w:fldChar w:fldCharType="separate"/>
        </w:r>
        <w:r w:rsidR="00DF7388" w:rsidRPr="00DF7388">
          <w:rPr>
            <w:noProof/>
            <w:webHidden/>
          </w:rPr>
          <w:t>55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7" w:history="1">
        <w:r w:rsidR="00DF7388" w:rsidRPr="00DF7388">
          <w:rPr>
            <w:rStyle w:val="Lienhypertexte"/>
            <w:noProof/>
          </w:rPr>
          <w:t>2.4.1. Préférences des ménages sur la durée et la période de disponibilité de l’électricité dans la journée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_Toc426359457 \h </w:instrText>
        </w:r>
        <w:r w:rsidR="00792500" w:rsidRPr="00DF7388">
          <w:rPr>
            <w:noProof/>
            <w:webHidden/>
          </w:rPr>
        </w:r>
        <w:r w:rsidR="00792500" w:rsidRPr="00DF7388">
          <w:rPr>
            <w:noProof/>
            <w:webHidden/>
          </w:rPr>
          <w:fldChar w:fldCharType="separate"/>
        </w:r>
        <w:r w:rsidR="00DF7388" w:rsidRPr="00DF7388">
          <w:rPr>
            <w:noProof/>
            <w:webHidden/>
          </w:rPr>
          <w:t>55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8" w:history="1">
        <w:r w:rsidR="00DF7388" w:rsidRPr="00DF7388">
          <w:rPr>
            <w:rStyle w:val="Lienhypertexte"/>
            <w:noProof/>
          </w:rPr>
          <w:t>2.4.3. Contraintes liées à la couverture des besoins dans l’utilisation des groupes électrogènes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_Toc426359458 \h </w:instrText>
        </w:r>
        <w:r w:rsidR="00792500" w:rsidRPr="00DF7388">
          <w:rPr>
            <w:noProof/>
            <w:webHidden/>
          </w:rPr>
        </w:r>
        <w:r w:rsidR="00792500" w:rsidRPr="00DF7388">
          <w:rPr>
            <w:noProof/>
            <w:webHidden/>
          </w:rPr>
          <w:fldChar w:fldCharType="separate"/>
        </w:r>
        <w:r w:rsidR="00DF7388" w:rsidRPr="00DF7388">
          <w:rPr>
            <w:noProof/>
            <w:webHidden/>
          </w:rPr>
          <w:t>57</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59" w:history="1">
        <w:r w:rsidR="00DF7388" w:rsidRPr="00DF7388">
          <w:rPr>
            <w:rStyle w:val="Lienhypertexte"/>
            <w:noProof/>
          </w:rPr>
          <w:t>2.4.4. Contraintes liées à la couverture des besoins par les sources alternatives aux groupes électrogènes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_Toc426359459 \h </w:instrText>
        </w:r>
        <w:r w:rsidR="00792500" w:rsidRPr="00DF7388">
          <w:rPr>
            <w:noProof/>
            <w:webHidden/>
          </w:rPr>
        </w:r>
        <w:r w:rsidR="00792500" w:rsidRPr="00DF7388">
          <w:rPr>
            <w:noProof/>
            <w:webHidden/>
          </w:rPr>
          <w:fldChar w:fldCharType="separate"/>
        </w:r>
        <w:r w:rsidR="00DF7388" w:rsidRPr="00DF7388">
          <w:rPr>
            <w:noProof/>
            <w:webHidden/>
          </w:rPr>
          <w:t>58</w:t>
        </w:r>
        <w:r w:rsidR="00792500" w:rsidRPr="00DF7388">
          <w:rPr>
            <w:noProof/>
            <w:webHidden/>
          </w:rPr>
          <w:fldChar w:fldCharType="end"/>
        </w:r>
      </w:hyperlink>
    </w:p>
    <w:p w:rsidR="00DF7388" w:rsidRPr="00DF7388" w:rsidRDefault="00EE3E92" w:rsidP="00DF7388">
      <w:pPr>
        <w:pStyle w:val="TM2"/>
        <w:tabs>
          <w:tab w:val="right" w:leader="dot" w:pos="9062"/>
        </w:tabs>
        <w:jc w:val="both"/>
        <w:rPr>
          <w:rFonts w:asciiTheme="minorHAnsi" w:eastAsiaTheme="minorEastAsia" w:hAnsiTheme="minorHAnsi" w:cstheme="minorBidi"/>
          <w:noProof/>
          <w:lang w:eastAsia="fr-FR"/>
        </w:rPr>
      </w:pPr>
      <w:hyperlink w:anchor="_Toc426359460" w:history="1">
        <w:r w:rsidR="00DF7388" w:rsidRPr="00DF7388">
          <w:rPr>
            <w:rStyle w:val="Lienhypertexte"/>
            <w:noProof/>
          </w:rPr>
          <w:t>CHAPITRE 3 : ACCES A L’ELECTRICITE ET OPINIONS DES MENAGES SUR LA QUALITE DES SERVICES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_Toc426359460 \h </w:instrText>
        </w:r>
        <w:r w:rsidR="00792500" w:rsidRPr="00DF7388">
          <w:rPr>
            <w:noProof/>
            <w:webHidden/>
          </w:rPr>
        </w:r>
        <w:r w:rsidR="00792500" w:rsidRPr="00DF7388">
          <w:rPr>
            <w:noProof/>
            <w:webHidden/>
          </w:rPr>
          <w:fldChar w:fldCharType="separate"/>
        </w:r>
        <w:r w:rsidR="00DF7388" w:rsidRPr="00DF7388">
          <w:rPr>
            <w:noProof/>
            <w:webHidden/>
          </w:rPr>
          <w:t>60</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61" w:history="1">
        <w:r w:rsidR="00DF7388" w:rsidRPr="00DF7388">
          <w:rPr>
            <w:rStyle w:val="Lienhypertexte"/>
            <w:noProof/>
          </w:rPr>
          <w:t>3.1. Niveau de consommation de l’électricité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_Toc426359461 \h </w:instrText>
        </w:r>
        <w:r w:rsidR="00792500" w:rsidRPr="00DF7388">
          <w:rPr>
            <w:noProof/>
            <w:webHidden/>
          </w:rPr>
        </w:r>
        <w:r w:rsidR="00792500" w:rsidRPr="00DF7388">
          <w:rPr>
            <w:noProof/>
            <w:webHidden/>
          </w:rPr>
          <w:fldChar w:fldCharType="separate"/>
        </w:r>
        <w:r w:rsidR="00DF7388" w:rsidRPr="00DF7388">
          <w:rPr>
            <w:noProof/>
            <w:webHidden/>
          </w:rPr>
          <w:t>60</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2" w:history="1">
        <w:r w:rsidR="00DF7388" w:rsidRPr="00DF7388">
          <w:rPr>
            <w:rStyle w:val="Lienhypertexte"/>
            <w:noProof/>
          </w:rPr>
          <w:t>3.1.1. Délais de raccordement au réseau</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_Toc426359462 \h </w:instrText>
        </w:r>
        <w:r w:rsidR="00792500" w:rsidRPr="00DF7388">
          <w:rPr>
            <w:noProof/>
            <w:webHidden/>
          </w:rPr>
        </w:r>
        <w:r w:rsidR="00792500" w:rsidRPr="00DF7388">
          <w:rPr>
            <w:noProof/>
            <w:webHidden/>
          </w:rPr>
          <w:fldChar w:fldCharType="separate"/>
        </w:r>
        <w:r w:rsidR="00DF7388" w:rsidRPr="00DF7388">
          <w:rPr>
            <w:noProof/>
            <w:webHidden/>
          </w:rPr>
          <w:t>60</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3" w:history="1">
        <w:r w:rsidR="00DF7388" w:rsidRPr="00DF7388">
          <w:rPr>
            <w:rStyle w:val="Lienhypertexte"/>
            <w:noProof/>
          </w:rPr>
          <w:t>3.1.2. Consommation d’électricité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_Toc426359463 \h </w:instrText>
        </w:r>
        <w:r w:rsidR="00792500" w:rsidRPr="00DF7388">
          <w:rPr>
            <w:noProof/>
            <w:webHidden/>
          </w:rPr>
        </w:r>
        <w:r w:rsidR="00792500" w:rsidRPr="00DF7388">
          <w:rPr>
            <w:noProof/>
            <w:webHidden/>
          </w:rPr>
          <w:fldChar w:fldCharType="separate"/>
        </w:r>
        <w:r w:rsidR="00DF7388" w:rsidRPr="00DF7388">
          <w:rPr>
            <w:noProof/>
            <w:webHidden/>
          </w:rPr>
          <w:t>62</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64" w:history="1">
        <w:r w:rsidR="00DF7388" w:rsidRPr="00DF7388">
          <w:rPr>
            <w:rStyle w:val="Lienhypertexte"/>
            <w:noProof/>
          </w:rPr>
          <w:t>3.2. Facturation de la consommation d’électricité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_Toc426359464 \h </w:instrText>
        </w:r>
        <w:r w:rsidR="00792500" w:rsidRPr="00DF7388">
          <w:rPr>
            <w:noProof/>
            <w:webHidden/>
          </w:rPr>
        </w:r>
        <w:r w:rsidR="00792500" w:rsidRPr="00DF7388">
          <w:rPr>
            <w:noProof/>
            <w:webHidden/>
          </w:rPr>
          <w:fldChar w:fldCharType="separate"/>
        </w:r>
        <w:r w:rsidR="00DF7388" w:rsidRPr="00DF7388">
          <w:rPr>
            <w:noProof/>
            <w:webHidden/>
          </w:rPr>
          <w:t>63</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5" w:history="1">
        <w:r w:rsidR="00DF7388" w:rsidRPr="00DF7388">
          <w:rPr>
            <w:rStyle w:val="Lienhypertexte"/>
            <w:noProof/>
          </w:rPr>
          <w:t>3.2.1. Mode de paiement des factures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_Toc426359465 \h </w:instrText>
        </w:r>
        <w:r w:rsidR="00792500" w:rsidRPr="00DF7388">
          <w:rPr>
            <w:noProof/>
            <w:webHidden/>
          </w:rPr>
        </w:r>
        <w:r w:rsidR="00792500" w:rsidRPr="00DF7388">
          <w:rPr>
            <w:noProof/>
            <w:webHidden/>
          </w:rPr>
          <w:fldChar w:fldCharType="separate"/>
        </w:r>
        <w:r w:rsidR="00DF7388" w:rsidRPr="00DF7388">
          <w:rPr>
            <w:noProof/>
            <w:webHidden/>
          </w:rPr>
          <w:t>63</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6" w:history="1">
        <w:r w:rsidR="00DF7388" w:rsidRPr="00DF7388">
          <w:rPr>
            <w:rStyle w:val="Lienhypertexte"/>
            <w:noProof/>
          </w:rPr>
          <w:t>3.2.2. Cout de raccordement au réseau</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_Toc426359466 \h </w:instrText>
        </w:r>
        <w:r w:rsidR="00792500" w:rsidRPr="00DF7388">
          <w:rPr>
            <w:noProof/>
            <w:webHidden/>
          </w:rPr>
        </w:r>
        <w:r w:rsidR="00792500" w:rsidRPr="00DF7388">
          <w:rPr>
            <w:noProof/>
            <w:webHidden/>
          </w:rPr>
          <w:fldChar w:fldCharType="separate"/>
        </w:r>
        <w:r w:rsidR="00DF7388" w:rsidRPr="00DF7388">
          <w:rPr>
            <w:noProof/>
            <w:webHidden/>
          </w:rPr>
          <w:t>64</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7" w:history="1">
        <w:r w:rsidR="00DF7388" w:rsidRPr="00DF7388">
          <w:rPr>
            <w:rStyle w:val="Lienhypertexte"/>
            <w:noProof/>
          </w:rPr>
          <w:t>3.2.3. Dynamique de la consommation d’électricité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_Toc426359467 \h </w:instrText>
        </w:r>
        <w:r w:rsidR="00792500" w:rsidRPr="00DF7388">
          <w:rPr>
            <w:noProof/>
            <w:webHidden/>
          </w:rPr>
        </w:r>
        <w:r w:rsidR="00792500" w:rsidRPr="00DF7388">
          <w:rPr>
            <w:noProof/>
            <w:webHidden/>
          </w:rPr>
          <w:fldChar w:fldCharType="separate"/>
        </w:r>
        <w:r w:rsidR="00DF7388" w:rsidRPr="00DF7388">
          <w:rPr>
            <w:noProof/>
            <w:webHidden/>
          </w:rPr>
          <w:t>65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68" w:history="1">
        <w:r w:rsidR="00DF7388" w:rsidRPr="00DF7388">
          <w:rPr>
            <w:rStyle w:val="Lienhypertexte"/>
            <w:noProof/>
          </w:rPr>
          <w:t>3.2.4. Exactitude de la facturation</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_Toc426359468 \h </w:instrText>
        </w:r>
        <w:r w:rsidR="00792500" w:rsidRPr="00DF7388">
          <w:rPr>
            <w:noProof/>
            <w:webHidden/>
          </w:rPr>
        </w:r>
        <w:r w:rsidR="00792500" w:rsidRPr="00DF7388">
          <w:rPr>
            <w:noProof/>
            <w:webHidden/>
          </w:rPr>
          <w:fldChar w:fldCharType="separate"/>
        </w:r>
        <w:r w:rsidR="00DF7388" w:rsidRPr="00DF7388">
          <w:rPr>
            <w:noProof/>
            <w:webHidden/>
          </w:rPr>
          <w:t>65</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69" w:history="1">
        <w:r w:rsidR="00DF7388" w:rsidRPr="00DF7388">
          <w:rPr>
            <w:rStyle w:val="Lienhypertexte"/>
            <w:noProof/>
          </w:rPr>
          <w:t>3.3. Impact des coupures et baisses de tension sur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_Toc426359469 \h </w:instrText>
        </w:r>
        <w:r w:rsidR="00792500" w:rsidRPr="00DF7388">
          <w:rPr>
            <w:noProof/>
            <w:webHidden/>
          </w:rPr>
        </w:r>
        <w:r w:rsidR="00792500" w:rsidRPr="00DF7388">
          <w:rPr>
            <w:noProof/>
            <w:webHidden/>
          </w:rPr>
          <w:fldChar w:fldCharType="separate"/>
        </w:r>
        <w:r w:rsidR="00DF7388" w:rsidRPr="00DF7388">
          <w:rPr>
            <w:noProof/>
            <w:webHidden/>
          </w:rPr>
          <w:t>68</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70" w:history="1">
        <w:r w:rsidR="00DF7388" w:rsidRPr="00DF7388">
          <w:rPr>
            <w:rStyle w:val="Lienhypertexte"/>
            <w:noProof/>
          </w:rPr>
          <w:t>3.3.1. Les coupures d’électricité dans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_Toc426359470 \h </w:instrText>
        </w:r>
        <w:r w:rsidR="00792500" w:rsidRPr="00DF7388">
          <w:rPr>
            <w:noProof/>
            <w:webHidden/>
          </w:rPr>
        </w:r>
        <w:r w:rsidR="00792500" w:rsidRPr="00DF7388">
          <w:rPr>
            <w:noProof/>
            <w:webHidden/>
          </w:rPr>
          <w:fldChar w:fldCharType="separate"/>
        </w:r>
        <w:r w:rsidR="00DF7388" w:rsidRPr="00DF7388">
          <w:rPr>
            <w:noProof/>
            <w:webHidden/>
          </w:rPr>
          <w:t>68</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71" w:history="1">
        <w:r w:rsidR="00DF7388" w:rsidRPr="00DF7388">
          <w:rPr>
            <w:rStyle w:val="Lienhypertexte"/>
            <w:noProof/>
          </w:rPr>
          <w:t>3.3.2. Situation des baisses de tension dans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_Toc426359471 \h </w:instrText>
        </w:r>
        <w:r w:rsidR="00792500" w:rsidRPr="00DF7388">
          <w:rPr>
            <w:noProof/>
            <w:webHidden/>
          </w:rPr>
        </w:r>
        <w:r w:rsidR="00792500" w:rsidRPr="00DF7388">
          <w:rPr>
            <w:noProof/>
            <w:webHidden/>
          </w:rPr>
          <w:fldChar w:fldCharType="separate"/>
        </w:r>
        <w:r w:rsidR="00DF7388" w:rsidRPr="00DF7388">
          <w:rPr>
            <w:noProof/>
            <w:webHidden/>
          </w:rPr>
          <w:t>71</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72" w:history="1">
        <w:r w:rsidR="00DF7388" w:rsidRPr="00DF7388">
          <w:rPr>
            <w:rStyle w:val="Lienhypertexte"/>
            <w:noProof/>
          </w:rPr>
          <w:t>3.4. Appréciation de la qualité des services de la SBEE par les ménages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_Toc426359472 \h </w:instrText>
        </w:r>
        <w:r w:rsidR="00792500" w:rsidRPr="00DF7388">
          <w:rPr>
            <w:noProof/>
            <w:webHidden/>
          </w:rPr>
        </w:r>
        <w:r w:rsidR="00792500" w:rsidRPr="00DF7388">
          <w:rPr>
            <w:noProof/>
            <w:webHidden/>
          </w:rPr>
          <w:fldChar w:fldCharType="separate"/>
        </w:r>
        <w:r w:rsidR="00DF7388" w:rsidRPr="00DF7388">
          <w:rPr>
            <w:noProof/>
            <w:webHidden/>
          </w:rPr>
          <w:t>73</w:t>
        </w:r>
        <w:r w:rsidR="00792500" w:rsidRPr="00DF7388">
          <w:rPr>
            <w:noProof/>
            <w:webHidden/>
          </w:rPr>
          <w:fldChar w:fldCharType="end"/>
        </w:r>
      </w:hyperlink>
    </w:p>
    <w:p w:rsidR="00DF7388" w:rsidRPr="00DF7388" w:rsidRDefault="00EE3E92" w:rsidP="00DF7388">
      <w:pPr>
        <w:pStyle w:val="TM2"/>
        <w:tabs>
          <w:tab w:val="right" w:leader="dot" w:pos="9062"/>
        </w:tabs>
        <w:jc w:val="both"/>
        <w:rPr>
          <w:rFonts w:asciiTheme="minorHAnsi" w:eastAsiaTheme="minorEastAsia" w:hAnsiTheme="minorHAnsi" w:cstheme="minorBidi"/>
          <w:noProof/>
          <w:lang w:eastAsia="fr-FR"/>
        </w:rPr>
      </w:pPr>
      <w:hyperlink w:anchor="_Toc426359473" w:history="1">
        <w:r w:rsidR="00DF7388" w:rsidRPr="00DF7388">
          <w:rPr>
            <w:rStyle w:val="Lienhypertexte"/>
            <w:noProof/>
          </w:rPr>
          <w:t>CHAPITRE 4 : VOLONTE ET CAPACITE DES MENAGES A PAYER POUR UNE ENERGIE ELECTRIQUE DE QUALITE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_Toc426359473 \h </w:instrText>
        </w:r>
        <w:r w:rsidR="00792500" w:rsidRPr="00DF7388">
          <w:rPr>
            <w:noProof/>
            <w:webHidden/>
          </w:rPr>
        </w:r>
        <w:r w:rsidR="00792500" w:rsidRPr="00DF7388">
          <w:rPr>
            <w:noProof/>
            <w:webHidden/>
          </w:rPr>
          <w:fldChar w:fldCharType="separate"/>
        </w:r>
        <w:r w:rsidR="00DF7388" w:rsidRPr="00DF7388">
          <w:rPr>
            <w:noProof/>
            <w:webHidden/>
          </w:rPr>
          <w:t>75</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74" w:history="1">
        <w:r w:rsidR="00DF7388" w:rsidRPr="00DF7388">
          <w:rPr>
            <w:rStyle w:val="Lienhypertexte"/>
            <w:noProof/>
          </w:rPr>
          <w:t>4.1. Disposition des ménages non connectés à se raccorder au réseau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_Toc426359474 \h </w:instrText>
        </w:r>
        <w:r w:rsidR="00792500" w:rsidRPr="00DF7388">
          <w:rPr>
            <w:noProof/>
            <w:webHidden/>
          </w:rPr>
        </w:r>
        <w:r w:rsidR="00792500" w:rsidRPr="00DF7388">
          <w:rPr>
            <w:noProof/>
            <w:webHidden/>
          </w:rPr>
          <w:fldChar w:fldCharType="separate"/>
        </w:r>
        <w:r w:rsidR="00DF7388" w:rsidRPr="00DF7388">
          <w:rPr>
            <w:noProof/>
            <w:webHidden/>
          </w:rPr>
          <w:t>75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75" w:history="1">
        <w:r w:rsidR="00DF7388" w:rsidRPr="00DF7388">
          <w:rPr>
            <w:rStyle w:val="Lienhypertexte"/>
            <w:noProof/>
          </w:rPr>
          <w:t>4.1.1 Cas des ménages situés dans des zones où il y a l’électricité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_Toc426359475 \h </w:instrText>
        </w:r>
        <w:r w:rsidR="00792500" w:rsidRPr="00DF7388">
          <w:rPr>
            <w:noProof/>
            <w:webHidden/>
          </w:rPr>
        </w:r>
        <w:r w:rsidR="00792500" w:rsidRPr="00DF7388">
          <w:rPr>
            <w:noProof/>
            <w:webHidden/>
          </w:rPr>
          <w:fldChar w:fldCharType="separate"/>
        </w:r>
        <w:r w:rsidR="00DF7388" w:rsidRPr="00DF7388">
          <w:rPr>
            <w:noProof/>
            <w:webHidden/>
          </w:rPr>
          <w:t>75</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76" w:history="1">
        <w:r w:rsidR="00DF7388" w:rsidRPr="00DF7388">
          <w:rPr>
            <w:rStyle w:val="Lienhypertexte"/>
            <w:noProof/>
          </w:rPr>
          <w:t>4.1.2 Cas des ménages situés dans des zones où il n’y a pas l’électricité</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_Toc426359476 \h </w:instrText>
        </w:r>
        <w:r w:rsidR="00792500" w:rsidRPr="00DF7388">
          <w:rPr>
            <w:noProof/>
            <w:webHidden/>
          </w:rPr>
        </w:r>
        <w:r w:rsidR="00792500" w:rsidRPr="00DF7388">
          <w:rPr>
            <w:noProof/>
            <w:webHidden/>
          </w:rPr>
          <w:fldChar w:fldCharType="separate"/>
        </w:r>
        <w:r w:rsidR="00DF7388" w:rsidRPr="00DF7388">
          <w:rPr>
            <w:noProof/>
            <w:webHidden/>
          </w:rPr>
          <w:t>80</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77" w:history="1">
        <w:r w:rsidR="00DF7388" w:rsidRPr="00DF7388">
          <w:rPr>
            <w:rStyle w:val="Lienhypertexte"/>
            <w:noProof/>
          </w:rPr>
          <w:t>4.2. Source de financement</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_Toc426359477 \h </w:instrText>
        </w:r>
        <w:r w:rsidR="00792500" w:rsidRPr="00DF7388">
          <w:rPr>
            <w:noProof/>
            <w:webHidden/>
          </w:rPr>
        </w:r>
        <w:r w:rsidR="00792500" w:rsidRPr="00DF7388">
          <w:rPr>
            <w:noProof/>
            <w:webHidden/>
          </w:rPr>
          <w:fldChar w:fldCharType="separate"/>
        </w:r>
        <w:r w:rsidR="00DF7388" w:rsidRPr="00DF7388">
          <w:rPr>
            <w:noProof/>
            <w:webHidden/>
          </w:rPr>
          <w:t>83</w:t>
        </w:r>
        <w:r w:rsidR="00792500" w:rsidRPr="00DF7388">
          <w:rPr>
            <w:noProof/>
            <w:webHidden/>
          </w:rPr>
          <w:fldChar w:fldCharType="end"/>
        </w:r>
      </w:hyperlink>
    </w:p>
    <w:p w:rsidR="00DF7388" w:rsidRPr="00DF7388" w:rsidRDefault="00EE3E92" w:rsidP="00DF7388">
      <w:pPr>
        <w:pStyle w:val="TM3"/>
        <w:tabs>
          <w:tab w:val="right" w:leader="dot" w:pos="9062"/>
        </w:tabs>
        <w:jc w:val="both"/>
        <w:rPr>
          <w:rFonts w:asciiTheme="minorHAnsi" w:eastAsiaTheme="minorEastAsia" w:hAnsiTheme="minorHAnsi" w:cstheme="minorBidi"/>
          <w:noProof/>
          <w:lang w:eastAsia="fr-FR"/>
        </w:rPr>
      </w:pPr>
      <w:hyperlink w:anchor="_Toc426359478" w:history="1">
        <w:r w:rsidR="00DF7388" w:rsidRPr="00DF7388">
          <w:rPr>
            <w:rStyle w:val="Lienhypertexte"/>
            <w:noProof/>
          </w:rPr>
          <w:t>4.3. Propension des ménages à payer d’avantage pour une meilleure qualité de service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_Toc426359478 \h </w:instrText>
        </w:r>
        <w:r w:rsidR="00792500" w:rsidRPr="00DF7388">
          <w:rPr>
            <w:noProof/>
            <w:webHidden/>
          </w:rPr>
        </w:r>
        <w:r w:rsidR="00792500" w:rsidRPr="00DF7388">
          <w:rPr>
            <w:noProof/>
            <w:webHidden/>
          </w:rPr>
          <w:fldChar w:fldCharType="separate"/>
        </w:r>
        <w:r w:rsidR="00DF7388" w:rsidRPr="00DF7388">
          <w:rPr>
            <w:noProof/>
            <w:webHidden/>
          </w:rPr>
          <w:t>84</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79" w:history="1">
        <w:r w:rsidR="00DF7388" w:rsidRPr="00DF7388">
          <w:rPr>
            <w:rStyle w:val="Lienhypertexte"/>
            <w:noProof/>
          </w:rPr>
          <w:t>4.3.1. Ménages non connectés au réseau</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_Toc426359479 \h </w:instrText>
        </w:r>
        <w:r w:rsidR="00792500" w:rsidRPr="00DF7388">
          <w:rPr>
            <w:noProof/>
            <w:webHidden/>
          </w:rPr>
        </w:r>
        <w:r w:rsidR="00792500" w:rsidRPr="00DF7388">
          <w:rPr>
            <w:noProof/>
            <w:webHidden/>
          </w:rPr>
          <w:fldChar w:fldCharType="separate"/>
        </w:r>
        <w:r w:rsidR="00DF7388" w:rsidRPr="00DF7388">
          <w:rPr>
            <w:noProof/>
            <w:webHidden/>
          </w:rPr>
          <w:t>84</w:t>
        </w:r>
        <w:r w:rsidR="00792500" w:rsidRPr="00DF7388">
          <w:rPr>
            <w:noProof/>
            <w:webHidden/>
          </w:rPr>
          <w:fldChar w:fldCharType="end"/>
        </w:r>
      </w:hyperlink>
    </w:p>
    <w:p w:rsidR="00DF7388" w:rsidRPr="00DF7388" w:rsidRDefault="00EE3E92" w:rsidP="00DF7388">
      <w:pPr>
        <w:pStyle w:val="TM4"/>
        <w:tabs>
          <w:tab w:val="right" w:leader="dot" w:pos="9062"/>
        </w:tabs>
        <w:jc w:val="both"/>
        <w:rPr>
          <w:rFonts w:asciiTheme="minorHAnsi" w:eastAsiaTheme="minorEastAsia" w:hAnsiTheme="minorHAnsi" w:cstheme="minorBidi"/>
          <w:noProof/>
          <w:lang w:eastAsia="fr-FR"/>
        </w:rPr>
      </w:pPr>
      <w:hyperlink w:anchor="_Toc426359480" w:history="1">
        <w:r w:rsidR="00DF7388" w:rsidRPr="00DF7388">
          <w:rPr>
            <w:rStyle w:val="Lienhypertexte"/>
            <w:noProof/>
          </w:rPr>
          <w:t>4.3.2. Ménages connectés au réseau électrique de la SBEE</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_Toc426359480 \h </w:instrText>
        </w:r>
        <w:r w:rsidR="00792500" w:rsidRPr="00DF7388">
          <w:rPr>
            <w:noProof/>
            <w:webHidden/>
          </w:rPr>
        </w:r>
        <w:r w:rsidR="00792500" w:rsidRPr="00DF7388">
          <w:rPr>
            <w:noProof/>
            <w:webHidden/>
          </w:rPr>
          <w:fldChar w:fldCharType="separate"/>
        </w:r>
        <w:r w:rsidR="00DF7388" w:rsidRPr="00DF7388">
          <w:rPr>
            <w:noProof/>
            <w:webHidden/>
          </w:rPr>
          <w:t>84</w:t>
        </w:r>
        <w:r w:rsidR="00792500" w:rsidRPr="00DF7388">
          <w:rPr>
            <w:noProof/>
            <w:webHidden/>
          </w:rPr>
          <w:fldChar w:fldCharType="end"/>
        </w:r>
      </w:hyperlink>
    </w:p>
    <w:p w:rsidR="00DF7388" w:rsidRPr="00DF7388" w:rsidRDefault="00EE3E92" w:rsidP="00DF7388">
      <w:pPr>
        <w:pStyle w:val="TM5"/>
        <w:jc w:val="both"/>
        <w:rPr>
          <w:rFonts w:asciiTheme="minorHAnsi" w:eastAsiaTheme="minorEastAsia" w:hAnsiTheme="minorHAnsi" w:cstheme="minorBidi"/>
          <w:lang w:eastAsia="fr-FR"/>
        </w:rPr>
      </w:pPr>
      <w:hyperlink w:anchor="_Toc426359481" w:history="1">
        <w:r w:rsidR="00DF7388" w:rsidRPr="00DF7388">
          <w:rPr>
            <w:rStyle w:val="Lienhypertexte"/>
          </w:rPr>
          <w:t>4.3.2.1. Connaissance du prix du KWh par les ménages</w:t>
        </w:r>
        <w:r w:rsidR="00DF7388" w:rsidRPr="00DF7388">
          <w:rPr>
            <w:webHidden/>
          </w:rPr>
          <w:tab/>
        </w:r>
        <w:r w:rsidR="00792500" w:rsidRPr="00DF7388">
          <w:rPr>
            <w:webHidden/>
          </w:rPr>
          <w:fldChar w:fldCharType="begin"/>
        </w:r>
        <w:r w:rsidR="00DF7388" w:rsidRPr="00DF7388">
          <w:rPr>
            <w:webHidden/>
          </w:rPr>
          <w:instrText xml:space="preserve"> PAGEREF _Toc426359481 \h </w:instrText>
        </w:r>
        <w:r w:rsidR="00792500" w:rsidRPr="00DF7388">
          <w:rPr>
            <w:webHidden/>
          </w:rPr>
        </w:r>
        <w:r w:rsidR="00792500" w:rsidRPr="00DF7388">
          <w:rPr>
            <w:webHidden/>
          </w:rPr>
          <w:fldChar w:fldCharType="separate"/>
        </w:r>
        <w:r w:rsidR="00DF7388" w:rsidRPr="00DF7388">
          <w:rPr>
            <w:webHidden/>
          </w:rPr>
          <w:t>84</w:t>
        </w:r>
        <w:r w:rsidR="00792500" w:rsidRPr="00DF7388">
          <w:rPr>
            <w:webHidden/>
          </w:rPr>
          <w:fldChar w:fldCharType="end"/>
        </w:r>
      </w:hyperlink>
    </w:p>
    <w:p w:rsidR="00DF7388" w:rsidRPr="00DF7388" w:rsidRDefault="00EE3E92" w:rsidP="00DF7388">
      <w:pPr>
        <w:pStyle w:val="TM5"/>
        <w:jc w:val="both"/>
        <w:rPr>
          <w:rFonts w:asciiTheme="minorHAnsi" w:eastAsiaTheme="minorEastAsia" w:hAnsiTheme="minorHAnsi" w:cstheme="minorBidi"/>
          <w:lang w:eastAsia="fr-FR"/>
        </w:rPr>
      </w:pPr>
      <w:hyperlink w:anchor="_Toc426359482" w:history="1">
        <w:r w:rsidR="00DF7388" w:rsidRPr="00DF7388">
          <w:rPr>
            <w:rStyle w:val="Lienhypertexte"/>
            <w:lang w:val="en-US"/>
          </w:rPr>
          <w:t>4.3.2.2. Prix « Willingness To Pay (WTP) » des ménages</w:t>
        </w:r>
        <w:r w:rsidR="00DF7388" w:rsidRPr="00DF7388">
          <w:rPr>
            <w:webHidden/>
          </w:rPr>
          <w:tab/>
        </w:r>
        <w:r w:rsidR="00792500" w:rsidRPr="00DF7388">
          <w:rPr>
            <w:webHidden/>
          </w:rPr>
          <w:fldChar w:fldCharType="begin"/>
        </w:r>
        <w:r w:rsidR="00DF7388" w:rsidRPr="00DF7388">
          <w:rPr>
            <w:webHidden/>
          </w:rPr>
          <w:instrText xml:space="preserve"> PAGEREF _Toc426359482 \h </w:instrText>
        </w:r>
        <w:r w:rsidR="00792500" w:rsidRPr="00DF7388">
          <w:rPr>
            <w:webHidden/>
          </w:rPr>
        </w:r>
        <w:r w:rsidR="00792500" w:rsidRPr="00DF7388">
          <w:rPr>
            <w:webHidden/>
          </w:rPr>
          <w:fldChar w:fldCharType="separate"/>
        </w:r>
        <w:r w:rsidR="00DF7388" w:rsidRPr="00DF7388">
          <w:rPr>
            <w:webHidden/>
          </w:rPr>
          <w:t>87</w:t>
        </w:r>
        <w:r w:rsidR="00792500" w:rsidRPr="00DF7388">
          <w:rPr>
            <w:webHidden/>
          </w:rPr>
          <w:fldChar w:fldCharType="end"/>
        </w:r>
      </w:hyperlink>
    </w:p>
    <w:p w:rsidR="00DF7388" w:rsidRPr="00DF7388" w:rsidRDefault="00EE3E92" w:rsidP="00DF7388">
      <w:pPr>
        <w:pStyle w:val="TM5"/>
        <w:jc w:val="both"/>
        <w:rPr>
          <w:rFonts w:asciiTheme="minorHAnsi" w:eastAsiaTheme="minorEastAsia" w:hAnsiTheme="minorHAnsi" w:cstheme="minorBidi"/>
          <w:lang w:eastAsia="fr-FR"/>
        </w:rPr>
      </w:pPr>
      <w:hyperlink w:anchor="_Toc426359483" w:history="1">
        <w:r w:rsidR="00DF7388" w:rsidRPr="00DF7388">
          <w:rPr>
            <w:rStyle w:val="Lienhypertexte"/>
          </w:rPr>
          <w:t>4.3.2.3. Sensibilité des ménages vis-à-vis des coupures d’électricité, des baisses de tension et de l’énergie solaire</w:t>
        </w:r>
        <w:r w:rsidR="00DF7388" w:rsidRPr="00DF7388">
          <w:rPr>
            <w:webHidden/>
          </w:rPr>
          <w:tab/>
        </w:r>
        <w:r w:rsidR="00792500" w:rsidRPr="00DF7388">
          <w:rPr>
            <w:webHidden/>
          </w:rPr>
          <w:fldChar w:fldCharType="begin"/>
        </w:r>
        <w:r w:rsidR="00DF7388" w:rsidRPr="00DF7388">
          <w:rPr>
            <w:webHidden/>
          </w:rPr>
          <w:instrText xml:space="preserve"> PAGEREF _Toc426359483 \h </w:instrText>
        </w:r>
        <w:r w:rsidR="00792500" w:rsidRPr="00DF7388">
          <w:rPr>
            <w:webHidden/>
          </w:rPr>
        </w:r>
        <w:r w:rsidR="00792500" w:rsidRPr="00DF7388">
          <w:rPr>
            <w:webHidden/>
          </w:rPr>
          <w:fldChar w:fldCharType="separate"/>
        </w:r>
        <w:r w:rsidR="00DF7388" w:rsidRPr="00DF7388">
          <w:rPr>
            <w:webHidden/>
          </w:rPr>
          <w:t>88</w:t>
        </w:r>
        <w:r w:rsidR="00792500" w:rsidRPr="00DF7388">
          <w:rPr>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84" w:history="1">
        <w:r w:rsidR="00DF7388" w:rsidRPr="00DF7388">
          <w:rPr>
            <w:rStyle w:val="Lienhypertexte"/>
            <w:noProof/>
          </w:rPr>
          <w:t>CONCLUSION</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_Toc426359484 \h </w:instrText>
        </w:r>
        <w:r w:rsidR="00792500" w:rsidRPr="00DF7388">
          <w:rPr>
            <w:noProof/>
            <w:webHidden/>
          </w:rPr>
        </w:r>
        <w:r w:rsidR="00792500" w:rsidRPr="00DF7388">
          <w:rPr>
            <w:noProof/>
            <w:webHidden/>
          </w:rPr>
          <w:fldChar w:fldCharType="separate"/>
        </w:r>
        <w:r w:rsidR="00DF7388" w:rsidRPr="00DF7388">
          <w:rPr>
            <w:noProof/>
            <w:webHidden/>
          </w:rPr>
          <w:t>91</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85" w:history="1">
        <w:r w:rsidR="00DF7388" w:rsidRPr="00DF7388">
          <w:rPr>
            <w:rStyle w:val="Lienhypertexte"/>
            <w:noProof/>
          </w:rPr>
          <w:t>ANNEXES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_Toc426359485 \h </w:instrText>
        </w:r>
        <w:r w:rsidR="00792500" w:rsidRPr="00DF7388">
          <w:rPr>
            <w:noProof/>
            <w:webHidden/>
          </w:rPr>
        </w:r>
        <w:r w:rsidR="00792500" w:rsidRPr="00DF7388">
          <w:rPr>
            <w:noProof/>
            <w:webHidden/>
          </w:rPr>
          <w:fldChar w:fldCharType="separate"/>
        </w:r>
        <w:r w:rsidR="00DF7388" w:rsidRPr="00DF7388">
          <w:rPr>
            <w:noProof/>
            <w:webHidden/>
          </w:rPr>
          <w:t>92</w:t>
        </w:r>
        <w:r w:rsidR="00792500" w:rsidRPr="00DF7388">
          <w:rPr>
            <w:noProof/>
            <w:webHidden/>
          </w:rPr>
          <w:fldChar w:fldCharType="end"/>
        </w:r>
      </w:hyperlink>
    </w:p>
    <w:p w:rsidR="00DF7388" w:rsidRPr="00DF7388" w:rsidRDefault="00EE3E92" w:rsidP="00DF7388">
      <w:pPr>
        <w:pStyle w:val="TM1"/>
        <w:tabs>
          <w:tab w:val="right" w:leader="dot" w:pos="9062"/>
        </w:tabs>
        <w:rPr>
          <w:rFonts w:asciiTheme="minorHAnsi" w:eastAsiaTheme="minorEastAsia" w:hAnsiTheme="minorHAnsi" w:cstheme="minorBidi"/>
          <w:noProof/>
          <w:sz w:val="22"/>
          <w:lang w:eastAsia="fr-FR"/>
        </w:rPr>
      </w:pPr>
      <w:hyperlink w:anchor="_Toc426359486" w:history="1">
        <w:r w:rsidR="00DF7388" w:rsidRPr="00DF7388">
          <w:rPr>
            <w:rStyle w:val="Lienhypertexte"/>
            <w:noProof/>
          </w:rPr>
          <w:t>TABLE DES MATIERES</w:t>
        </w:r>
        <w:r w:rsidR="00DF7388" w:rsidRPr="00DF7388">
          <w:rPr>
            <w:noProof/>
            <w:webHidden/>
          </w:rPr>
          <w:tab/>
        </w:r>
        <w:r w:rsidR="00792500" w:rsidRPr="00DF7388">
          <w:rPr>
            <w:noProof/>
            <w:webHidden/>
          </w:rPr>
          <w:fldChar w:fldCharType="begin"/>
        </w:r>
        <w:r w:rsidR="00DF7388" w:rsidRPr="00DF7388">
          <w:rPr>
            <w:noProof/>
            <w:webHidden/>
          </w:rPr>
          <w:instrText xml:space="preserve"> PAGEREF _Toc426359486 \h </w:instrText>
        </w:r>
        <w:r w:rsidR="00792500" w:rsidRPr="00DF7388">
          <w:rPr>
            <w:noProof/>
            <w:webHidden/>
          </w:rPr>
        </w:r>
        <w:r w:rsidR="00792500" w:rsidRPr="00DF7388">
          <w:rPr>
            <w:noProof/>
            <w:webHidden/>
          </w:rPr>
          <w:fldChar w:fldCharType="separate"/>
        </w:r>
        <w:r w:rsidR="00DF7388" w:rsidRPr="00DF7388">
          <w:rPr>
            <w:noProof/>
            <w:webHidden/>
          </w:rPr>
          <w:t>99</w:t>
        </w:r>
        <w:r w:rsidR="00792500" w:rsidRPr="00DF7388">
          <w:rPr>
            <w:noProof/>
            <w:webHidden/>
          </w:rPr>
          <w:fldChar w:fldCharType="end"/>
        </w:r>
      </w:hyperlink>
    </w:p>
    <w:p w:rsidR="00FD162E" w:rsidRDefault="00792500" w:rsidP="00DF7388">
      <w:pPr>
        <w:tabs>
          <w:tab w:val="right" w:pos="9072"/>
        </w:tabs>
        <w:jc w:val="both"/>
        <w:rPr>
          <w:rFonts w:ascii="Trebuchet MS" w:hAnsi="Trebuchet MS"/>
          <w:sz w:val="24"/>
          <w:szCs w:val="24"/>
        </w:rPr>
      </w:pPr>
      <w:r w:rsidRPr="00DF7388">
        <w:rPr>
          <w:rFonts w:ascii="Trebuchet MS" w:hAnsi="Trebuchet MS"/>
          <w:sz w:val="24"/>
          <w:szCs w:val="24"/>
        </w:rPr>
        <w:fldChar w:fldCharType="end"/>
      </w:r>
    </w:p>
    <w:p w:rsidR="0093699E" w:rsidRDefault="0093699E" w:rsidP="0093699E">
      <w:pPr>
        <w:tabs>
          <w:tab w:val="right" w:pos="9072"/>
        </w:tabs>
        <w:rPr>
          <w:rFonts w:ascii="Trebuchet MS" w:hAnsi="Trebuchet MS"/>
          <w:sz w:val="24"/>
          <w:szCs w:val="24"/>
        </w:rPr>
      </w:pPr>
    </w:p>
    <w:p w:rsidR="0093699E" w:rsidRPr="0072397D" w:rsidRDefault="0093699E" w:rsidP="0093699E">
      <w:pPr>
        <w:tabs>
          <w:tab w:val="right" w:pos="9072"/>
        </w:tabs>
        <w:rPr>
          <w:rFonts w:ascii="Trebuchet MS" w:hAnsi="Trebuchet MS"/>
          <w:sz w:val="24"/>
          <w:szCs w:val="24"/>
        </w:rPr>
      </w:pPr>
    </w:p>
    <w:p w:rsidR="0093699E" w:rsidRPr="0072397D" w:rsidRDefault="0093699E" w:rsidP="0093699E">
      <w:pPr>
        <w:tabs>
          <w:tab w:val="right" w:pos="9072"/>
        </w:tabs>
        <w:rPr>
          <w:rFonts w:ascii="Trebuchet MS" w:hAnsi="Trebuchet MS"/>
          <w:sz w:val="24"/>
          <w:szCs w:val="24"/>
        </w:rPr>
      </w:pPr>
    </w:p>
    <w:sectPr w:rsidR="0093699E" w:rsidRPr="0072397D" w:rsidSect="00FF1C88">
      <w:headerReference w:type="first" r:id="rId40"/>
      <w:pgSz w:w="11906" w:h="16838"/>
      <w:pgMar w:top="1843" w:right="1417" w:bottom="851"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E92" w:rsidRDefault="00EE3E92" w:rsidP="00636350">
      <w:pPr>
        <w:spacing w:after="0" w:line="240" w:lineRule="auto"/>
      </w:pPr>
      <w:r>
        <w:separator/>
      </w:r>
    </w:p>
  </w:endnote>
  <w:endnote w:type="continuationSeparator" w:id="0">
    <w:p w:rsidR="00EE3E92" w:rsidRDefault="00EE3E92" w:rsidP="00636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721189"/>
      <w:docPartObj>
        <w:docPartGallery w:val="Page Numbers (Bottom of Page)"/>
        <w:docPartUnique/>
      </w:docPartObj>
    </w:sdtPr>
    <w:sdtEndPr/>
    <w:sdtContent>
      <w:p w:rsidR="00CC718C" w:rsidRDefault="00EE3E92">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2049" type="#_x0000_t65" style="position:absolute;margin-left:0;margin-top:0;width:29pt;height:26.25pt;z-index:251659264;visibility:visible;mso-top-percent:70;mso-position-horizontal:left;mso-position-horizontal-relative:right-margin-area;mso-position-vertical-relative:bottom-margin-area;mso-top-percent: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" o:allowincell="f" adj="14135" strokecolor="gray" strokeweight=".25pt">
              <v:textbox>
                <w:txbxContent>
                  <w:p w:rsidR="00CC718C" w:rsidRDefault="00792500">
                    <w:pPr>
                      <w:jc w:val="center"/>
                    </w:pPr>
                    <w:r>
                      <w:fldChar w:fldCharType="begin"/>
                    </w:r>
                    <w:r w:rsidR="00CC718C">
                      <w:instrText>PAGE    \* MERGEFORMAT</w:instrText>
                    </w:r>
                    <w:r>
                      <w:fldChar w:fldCharType="separate"/>
                    </w:r>
                    <w:r w:rsidR="00BC1946" w:rsidRPr="00BC1946">
                      <w:rPr>
                        <w:noProof/>
                        <w:sz w:val="16"/>
                        <w:szCs w:val="16"/>
                      </w:rPr>
                      <w:t>1</w:t>
                    </w:r>
                    <w:r>
                      <w:rPr>
                        <w:sz w:val="16"/>
                        <w:szCs w:val="16"/>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E92" w:rsidRDefault="00EE3E92" w:rsidP="00636350">
      <w:pPr>
        <w:spacing w:after="0" w:line="240" w:lineRule="auto"/>
      </w:pPr>
      <w:r>
        <w:separator/>
      </w:r>
    </w:p>
  </w:footnote>
  <w:footnote w:type="continuationSeparator" w:id="0">
    <w:p w:rsidR="00EE3E92" w:rsidRDefault="00EE3E92" w:rsidP="00636350">
      <w:pPr>
        <w:spacing w:after="0" w:line="240" w:lineRule="auto"/>
      </w:pPr>
      <w:r>
        <w:continuationSeparator/>
      </w:r>
    </w:p>
  </w:footnote>
  <w:footnote w:id="1">
    <w:p w:rsidR="00CC718C" w:rsidRDefault="00CC718C" w:rsidP="0056000A">
      <w:pPr>
        <w:pStyle w:val="Notedebasdepage"/>
      </w:pPr>
      <w:r>
        <w:rPr>
          <w:rStyle w:val="Appelnotedebasdep"/>
        </w:rPr>
        <w:footnoteRef/>
      </w:r>
      <w:r w:rsidRPr="00432228">
        <w:t>http://www.sbee.bj/abonnement-prepaye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8C" w:rsidRDefault="00CC718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5E7E6BB"/>
    <w:multiLevelType w:val="hybridMultilevel"/>
    <w:tmpl w:val="D0DD096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74926"/>
    <w:multiLevelType w:val="hybridMultilevel"/>
    <w:tmpl w:val="2604E82C"/>
    <w:lvl w:ilvl="0" w:tplc="0310DC7C">
      <w:start w:val="8"/>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5F83153"/>
    <w:multiLevelType w:val="hybridMultilevel"/>
    <w:tmpl w:val="7644769A"/>
    <w:lvl w:ilvl="0" w:tplc="75E8CE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5542FD"/>
    <w:multiLevelType w:val="hybridMultilevel"/>
    <w:tmpl w:val="C34CED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F5AED"/>
    <w:multiLevelType w:val="hybridMultilevel"/>
    <w:tmpl w:val="E9B0BB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25F7230"/>
    <w:multiLevelType w:val="multilevel"/>
    <w:tmpl w:val="86107A3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pStyle w:val="Titre6"/>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3863301"/>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A05C4E"/>
    <w:multiLevelType w:val="multilevel"/>
    <w:tmpl w:val="C92E8C7C"/>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4C71ED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CB1140"/>
    <w:multiLevelType w:val="hybridMultilevel"/>
    <w:tmpl w:val="41B07918"/>
    <w:lvl w:ilvl="0" w:tplc="EDDC96F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0D41A4"/>
    <w:multiLevelType w:val="hybridMultilevel"/>
    <w:tmpl w:val="0EE00392"/>
    <w:lvl w:ilvl="0" w:tplc="16F2BC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83A3009"/>
    <w:multiLevelType w:val="hybridMultilevel"/>
    <w:tmpl w:val="AAA86D80"/>
    <w:lvl w:ilvl="0" w:tplc="61AC87D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05DC6C"/>
    <w:multiLevelType w:val="hybridMultilevel"/>
    <w:tmpl w:val="B570FE8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98A6C2A"/>
    <w:multiLevelType w:val="multilevel"/>
    <w:tmpl w:val="4B4E5BA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EFA0222"/>
    <w:multiLevelType w:val="hybridMultilevel"/>
    <w:tmpl w:val="C70E2086"/>
    <w:lvl w:ilvl="0" w:tplc="D822139E">
      <w:start w:val="1"/>
      <w:numFmt w:val="bullet"/>
      <w:lvlText w:val="-"/>
      <w:lvlJc w:val="left"/>
      <w:pPr>
        <w:tabs>
          <w:tab w:val="num" w:pos="720"/>
        </w:tabs>
        <w:ind w:left="720" w:hanging="360"/>
      </w:pPr>
      <w:rPr>
        <w:rFonts w:ascii="Arial" w:eastAsia="Times New Roman" w:hAnsi="Arial" w:cs="Aria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27722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25813C5"/>
    <w:multiLevelType w:val="multilevel"/>
    <w:tmpl w:val="1FDEC962"/>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17" w15:restartNumberingAfterBreak="0">
    <w:nsid w:val="6A627095"/>
    <w:multiLevelType w:val="multilevel"/>
    <w:tmpl w:val="D1C61688"/>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6ABC79D0"/>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0CF7978"/>
    <w:multiLevelType w:val="hybridMultilevel"/>
    <w:tmpl w:val="C0F0632E"/>
    <w:lvl w:ilvl="0" w:tplc="987C49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76211591"/>
    <w:multiLevelType w:val="multilevel"/>
    <w:tmpl w:val="67989B1C"/>
    <w:lvl w:ilvl="0">
      <w:start w:val="1"/>
      <w:numFmt w:val="decimal"/>
      <w:lvlText w:val="%1."/>
      <w:lvlJc w:val="left"/>
      <w:pPr>
        <w:ind w:left="450" w:hanging="450"/>
      </w:pPr>
      <w:rPr>
        <w:rFonts w:hint="default"/>
      </w:rPr>
    </w:lvl>
    <w:lvl w:ilvl="1">
      <w:start w:val="1"/>
      <w:numFmt w:val="decimal"/>
      <w:pStyle w:val="Titre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7A7160B"/>
    <w:multiLevelType w:val="hybridMultilevel"/>
    <w:tmpl w:val="9E861C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82B6412"/>
    <w:multiLevelType w:val="multilevel"/>
    <w:tmpl w:val="2FD692D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23" w15:restartNumberingAfterBreak="0">
    <w:nsid w:val="7B8A2EB1"/>
    <w:multiLevelType w:val="multilevel"/>
    <w:tmpl w:val="FAD4525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720" w:hanging="72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800" w:hanging="180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num w:numId="1">
    <w:abstractNumId w:val="9"/>
  </w:num>
  <w:num w:numId="2">
    <w:abstractNumId w:val="5"/>
  </w:num>
  <w:num w:numId="3">
    <w:abstractNumId w:val="3"/>
  </w:num>
  <w:num w:numId="4">
    <w:abstractNumId w:val="23"/>
  </w:num>
  <w:num w:numId="5">
    <w:abstractNumId w:val="16"/>
  </w:num>
  <w:num w:numId="6">
    <w:abstractNumId w:val="20"/>
  </w:num>
  <w:num w:numId="7">
    <w:abstractNumId w:val="22"/>
  </w:num>
  <w:num w:numId="8">
    <w:abstractNumId w:val="21"/>
  </w:num>
  <w:num w:numId="9">
    <w:abstractNumId w:val="7"/>
  </w:num>
  <w:num w:numId="10">
    <w:abstractNumId w:val="17"/>
  </w:num>
  <w:num w:numId="11">
    <w:abstractNumId w:val="17"/>
    <w:lvlOverride w:ilvl="0">
      <w:startOverride w:val="1"/>
    </w:lvlOverride>
    <w:lvlOverride w:ilvl="1">
      <w:startOverride w:val="2"/>
    </w:lvlOverride>
    <w:lvlOverride w:ilvl="2">
      <w:startOverride w:val="1"/>
    </w:lvlOverride>
  </w:num>
  <w:num w:numId="12">
    <w:abstractNumId w:val="13"/>
  </w:num>
  <w:num w:numId="13">
    <w:abstractNumId w:val="20"/>
    <w:lvlOverride w:ilvl="0">
      <w:startOverride w:val="3"/>
    </w:lvlOverride>
    <w:lvlOverride w:ilvl="1">
      <w:startOverride w:val="1"/>
    </w:lvlOverride>
  </w:num>
  <w:num w:numId="14">
    <w:abstractNumId w:val="20"/>
    <w:lvlOverride w:ilvl="0">
      <w:startOverride w:val="3"/>
    </w:lvlOverride>
    <w:lvlOverride w:ilvl="1">
      <w:startOverride w:val="1"/>
    </w:lvlOverride>
  </w:num>
  <w:num w:numId="15">
    <w:abstractNumId w:val="4"/>
  </w:num>
  <w:num w:numId="16">
    <w:abstractNumId w:val="20"/>
    <w:lvlOverride w:ilvl="0">
      <w:startOverride w:val="3"/>
    </w:lvlOverride>
    <w:lvlOverride w:ilvl="1">
      <w:startOverride w:val="1"/>
    </w:lvlOverride>
  </w:num>
  <w:num w:numId="17">
    <w:abstractNumId w:val="20"/>
    <w:lvlOverride w:ilvl="0">
      <w:startOverride w:val="3"/>
    </w:lvlOverride>
    <w:lvlOverride w:ilvl="1">
      <w:startOverride w:val="1"/>
    </w:lvlOverride>
  </w:num>
  <w:num w:numId="18">
    <w:abstractNumId w:val="20"/>
    <w:lvlOverride w:ilvl="0">
      <w:startOverride w:val="2"/>
    </w:lvlOverride>
    <w:lvlOverride w:ilvl="1">
      <w:startOverride w:val="1"/>
    </w:lvlOverride>
  </w:num>
  <w:num w:numId="19">
    <w:abstractNumId w:val="20"/>
    <w:lvlOverride w:ilvl="0">
      <w:startOverride w:val="2"/>
    </w:lvlOverride>
    <w:lvlOverride w:ilvl="1">
      <w:startOverride w:val="2"/>
    </w:lvlOverride>
  </w:num>
  <w:num w:numId="20">
    <w:abstractNumId w:val="14"/>
  </w:num>
  <w:num w:numId="21">
    <w:abstractNumId w:val="0"/>
  </w:num>
  <w:num w:numId="22">
    <w:abstractNumId w:val="12"/>
  </w:num>
  <w:num w:numId="23">
    <w:abstractNumId w:val="19"/>
  </w:num>
  <w:num w:numId="24">
    <w:abstractNumId w:val="11"/>
  </w:num>
  <w:num w:numId="25">
    <w:abstractNumId w:val="2"/>
  </w:num>
  <w:num w:numId="26">
    <w:abstractNumId w:val="8"/>
  </w:num>
  <w:num w:numId="27">
    <w:abstractNumId w:val="18"/>
  </w:num>
  <w:num w:numId="28">
    <w:abstractNumId w:val="10"/>
  </w:num>
  <w:num w:numId="29">
    <w:abstractNumId w:val="6"/>
  </w:num>
  <w:num w:numId="30">
    <w:abstractNumId w:val="15"/>
  </w:num>
  <w:num w:numId="3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72278"/>
    <w:rsid w:val="00000605"/>
    <w:rsid w:val="00000D52"/>
    <w:rsid w:val="0000151D"/>
    <w:rsid w:val="0000184E"/>
    <w:rsid w:val="00001E72"/>
    <w:rsid w:val="00001FB4"/>
    <w:rsid w:val="00003AFC"/>
    <w:rsid w:val="00007000"/>
    <w:rsid w:val="00010D4F"/>
    <w:rsid w:val="00011440"/>
    <w:rsid w:val="00013169"/>
    <w:rsid w:val="00014BDE"/>
    <w:rsid w:val="0001730E"/>
    <w:rsid w:val="00024414"/>
    <w:rsid w:val="000253C1"/>
    <w:rsid w:val="00025637"/>
    <w:rsid w:val="00025A06"/>
    <w:rsid w:val="00025D8D"/>
    <w:rsid w:val="0003204C"/>
    <w:rsid w:val="0003270B"/>
    <w:rsid w:val="000339A8"/>
    <w:rsid w:val="000346DF"/>
    <w:rsid w:val="000348F0"/>
    <w:rsid w:val="00034F45"/>
    <w:rsid w:val="0003551B"/>
    <w:rsid w:val="00035661"/>
    <w:rsid w:val="00035AC9"/>
    <w:rsid w:val="00035E6A"/>
    <w:rsid w:val="000362F8"/>
    <w:rsid w:val="00041457"/>
    <w:rsid w:val="00041867"/>
    <w:rsid w:val="00041A6C"/>
    <w:rsid w:val="00044176"/>
    <w:rsid w:val="00045466"/>
    <w:rsid w:val="000505E4"/>
    <w:rsid w:val="000516D2"/>
    <w:rsid w:val="00053739"/>
    <w:rsid w:val="000546A7"/>
    <w:rsid w:val="000551CD"/>
    <w:rsid w:val="0005650A"/>
    <w:rsid w:val="0006064E"/>
    <w:rsid w:val="00060745"/>
    <w:rsid w:val="00062782"/>
    <w:rsid w:val="0006577E"/>
    <w:rsid w:val="00067844"/>
    <w:rsid w:val="00067F91"/>
    <w:rsid w:val="00070309"/>
    <w:rsid w:val="00070DCD"/>
    <w:rsid w:val="000715D5"/>
    <w:rsid w:val="00071DFF"/>
    <w:rsid w:val="000721AF"/>
    <w:rsid w:val="00073257"/>
    <w:rsid w:val="000736F4"/>
    <w:rsid w:val="00073CAA"/>
    <w:rsid w:val="00075403"/>
    <w:rsid w:val="0008199F"/>
    <w:rsid w:val="00081D62"/>
    <w:rsid w:val="00081FB7"/>
    <w:rsid w:val="0008447B"/>
    <w:rsid w:val="000845A9"/>
    <w:rsid w:val="0008593C"/>
    <w:rsid w:val="000871A1"/>
    <w:rsid w:val="000875B8"/>
    <w:rsid w:val="00090451"/>
    <w:rsid w:val="00090F83"/>
    <w:rsid w:val="00091B5A"/>
    <w:rsid w:val="00091E5B"/>
    <w:rsid w:val="00092AC3"/>
    <w:rsid w:val="0009528D"/>
    <w:rsid w:val="0009562B"/>
    <w:rsid w:val="00095AFC"/>
    <w:rsid w:val="00096FF8"/>
    <w:rsid w:val="00097012"/>
    <w:rsid w:val="00097063"/>
    <w:rsid w:val="000973D2"/>
    <w:rsid w:val="000A0831"/>
    <w:rsid w:val="000A13AD"/>
    <w:rsid w:val="000A166F"/>
    <w:rsid w:val="000A6EE9"/>
    <w:rsid w:val="000B1984"/>
    <w:rsid w:val="000B1F67"/>
    <w:rsid w:val="000B393F"/>
    <w:rsid w:val="000B4F97"/>
    <w:rsid w:val="000B6186"/>
    <w:rsid w:val="000C0486"/>
    <w:rsid w:val="000C140C"/>
    <w:rsid w:val="000C264E"/>
    <w:rsid w:val="000C3421"/>
    <w:rsid w:val="000C4102"/>
    <w:rsid w:val="000C5633"/>
    <w:rsid w:val="000C5D4C"/>
    <w:rsid w:val="000C611A"/>
    <w:rsid w:val="000C63EF"/>
    <w:rsid w:val="000C6A93"/>
    <w:rsid w:val="000D1612"/>
    <w:rsid w:val="000D1ABF"/>
    <w:rsid w:val="000D1DC2"/>
    <w:rsid w:val="000D1DCC"/>
    <w:rsid w:val="000D1F43"/>
    <w:rsid w:val="000D2471"/>
    <w:rsid w:val="000D2552"/>
    <w:rsid w:val="000D2670"/>
    <w:rsid w:val="000D3F64"/>
    <w:rsid w:val="000D68AD"/>
    <w:rsid w:val="000D6DD1"/>
    <w:rsid w:val="000D7E92"/>
    <w:rsid w:val="000E3AF7"/>
    <w:rsid w:val="000E3C43"/>
    <w:rsid w:val="000E4111"/>
    <w:rsid w:val="000E4C63"/>
    <w:rsid w:val="000E6B37"/>
    <w:rsid w:val="000E6F9E"/>
    <w:rsid w:val="000F06B7"/>
    <w:rsid w:val="000F4A11"/>
    <w:rsid w:val="000F50F6"/>
    <w:rsid w:val="000F51D2"/>
    <w:rsid w:val="000F6188"/>
    <w:rsid w:val="000F6953"/>
    <w:rsid w:val="000F7BA6"/>
    <w:rsid w:val="001008C0"/>
    <w:rsid w:val="00100C13"/>
    <w:rsid w:val="001010C4"/>
    <w:rsid w:val="00101142"/>
    <w:rsid w:val="00101431"/>
    <w:rsid w:val="001042FD"/>
    <w:rsid w:val="00104A91"/>
    <w:rsid w:val="0010522D"/>
    <w:rsid w:val="00107641"/>
    <w:rsid w:val="0011093C"/>
    <w:rsid w:val="00110A84"/>
    <w:rsid w:val="001111C2"/>
    <w:rsid w:val="00113816"/>
    <w:rsid w:val="00114358"/>
    <w:rsid w:val="0011446F"/>
    <w:rsid w:val="00114BBB"/>
    <w:rsid w:val="00114E76"/>
    <w:rsid w:val="00115C96"/>
    <w:rsid w:val="00115D7B"/>
    <w:rsid w:val="00115FCA"/>
    <w:rsid w:val="00116B9A"/>
    <w:rsid w:val="0012084D"/>
    <w:rsid w:val="00120CCB"/>
    <w:rsid w:val="00123DFC"/>
    <w:rsid w:val="00125DBA"/>
    <w:rsid w:val="0012692F"/>
    <w:rsid w:val="001273FA"/>
    <w:rsid w:val="00127ADA"/>
    <w:rsid w:val="0013400F"/>
    <w:rsid w:val="001341F7"/>
    <w:rsid w:val="001343E2"/>
    <w:rsid w:val="00134D9F"/>
    <w:rsid w:val="00135E8C"/>
    <w:rsid w:val="0013653D"/>
    <w:rsid w:val="00136E9C"/>
    <w:rsid w:val="00137BE2"/>
    <w:rsid w:val="00137C03"/>
    <w:rsid w:val="00141CC5"/>
    <w:rsid w:val="001420B2"/>
    <w:rsid w:val="001433BE"/>
    <w:rsid w:val="00146105"/>
    <w:rsid w:val="0014668C"/>
    <w:rsid w:val="00146B6B"/>
    <w:rsid w:val="00151167"/>
    <w:rsid w:val="00152B42"/>
    <w:rsid w:val="00153B40"/>
    <w:rsid w:val="00154DEF"/>
    <w:rsid w:val="0015725C"/>
    <w:rsid w:val="001573BC"/>
    <w:rsid w:val="00160D0E"/>
    <w:rsid w:val="001612B1"/>
    <w:rsid w:val="00162221"/>
    <w:rsid w:val="00162515"/>
    <w:rsid w:val="00165250"/>
    <w:rsid w:val="001661BE"/>
    <w:rsid w:val="00166E06"/>
    <w:rsid w:val="00167492"/>
    <w:rsid w:val="00170FF4"/>
    <w:rsid w:val="0017187D"/>
    <w:rsid w:val="00171EAF"/>
    <w:rsid w:val="00172183"/>
    <w:rsid w:val="00173466"/>
    <w:rsid w:val="00174398"/>
    <w:rsid w:val="001745ED"/>
    <w:rsid w:val="00176D98"/>
    <w:rsid w:val="00177C2D"/>
    <w:rsid w:val="0018174A"/>
    <w:rsid w:val="00184043"/>
    <w:rsid w:val="00184910"/>
    <w:rsid w:val="00184E54"/>
    <w:rsid w:val="00184ED3"/>
    <w:rsid w:val="00185837"/>
    <w:rsid w:val="00185DA5"/>
    <w:rsid w:val="0018635F"/>
    <w:rsid w:val="0018640D"/>
    <w:rsid w:val="00192970"/>
    <w:rsid w:val="00192C7D"/>
    <w:rsid w:val="0019340C"/>
    <w:rsid w:val="00194C1B"/>
    <w:rsid w:val="00195269"/>
    <w:rsid w:val="001954A9"/>
    <w:rsid w:val="001954BB"/>
    <w:rsid w:val="001959A5"/>
    <w:rsid w:val="001A18C4"/>
    <w:rsid w:val="001A1C25"/>
    <w:rsid w:val="001A2588"/>
    <w:rsid w:val="001A35F6"/>
    <w:rsid w:val="001A4C4E"/>
    <w:rsid w:val="001A7E45"/>
    <w:rsid w:val="001B00A5"/>
    <w:rsid w:val="001B0D12"/>
    <w:rsid w:val="001B1490"/>
    <w:rsid w:val="001B1537"/>
    <w:rsid w:val="001B15EE"/>
    <w:rsid w:val="001B17F3"/>
    <w:rsid w:val="001B1C70"/>
    <w:rsid w:val="001B2D79"/>
    <w:rsid w:val="001B6D81"/>
    <w:rsid w:val="001B76BE"/>
    <w:rsid w:val="001C238B"/>
    <w:rsid w:val="001C3AF6"/>
    <w:rsid w:val="001C4518"/>
    <w:rsid w:val="001C5A33"/>
    <w:rsid w:val="001C5B6C"/>
    <w:rsid w:val="001C6289"/>
    <w:rsid w:val="001C64EC"/>
    <w:rsid w:val="001C78EC"/>
    <w:rsid w:val="001D0321"/>
    <w:rsid w:val="001D0A5E"/>
    <w:rsid w:val="001D20E6"/>
    <w:rsid w:val="001D280D"/>
    <w:rsid w:val="001D2BD7"/>
    <w:rsid w:val="001D3229"/>
    <w:rsid w:val="001D3800"/>
    <w:rsid w:val="001D5912"/>
    <w:rsid w:val="001D5D72"/>
    <w:rsid w:val="001E04DD"/>
    <w:rsid w:val="001E0781"/>
    <w:rsid w:val="001E0A8C"/>
    <w:rsid w:val="001E2E97"/>
    <w:rsid w:val="001E360C"/>
    <w:rsid w:val="001E3DA1"/>
    <w:rsid w:val="001E6D3D"/>
    <w:rsid w:val="001E7980"/>
    <w:rsid w:val="001F3099"/>
    <w:rsid w:val="001F326C"/>
    <w:rsid w:val="001F40CE"/>
    <w:rsid w:val="001F5636"/>
    <w:rsid w:val="001F5E04"/>
    <w:rsid w:val="001F63EA"/>
    <w:rsid w:val="001F6F6A"/>
    <w:rsid w:val="0020138D"/>
    <w:rsid w:val="002029A4"/>
    <w:rsid w:val="002029D2"/>
    <w:rsid w:val="00202D52"/>
    <w:rsid w:val="00202FAF"/>
    <w:rsid w:val="00203E05"/>
    <w:rsid w:val="00204015"/>
    <w:rsid w:val="00204189"/>
    <w:rsid w:val="002046EF"/>
    <w:rsid w:val="00205474"/>
    <w:rsid w:val="00207E2C"/>
    <w:rsid w:val="00212616"/>
    <w:rsid w:val="00213D13"/>
    <w:rsid w:val="00215935"/>
    <w:rsid w:val="00215B06"/>
    <w:rsid w:val="002172C2"/>
    <w:rsid w:val="0022022D"/>
    <w:rsid w:val="002222D1"/>
    <w:rsid w:val="00223513"/>
    <w:rsid w:val="00223572"/>
    <w:rsid w:val="002239D4"/>
    <w:rsid w:val="00223BCE"/>
    <w:rsid w:val="00223DA4"/>
    <w:rsid w:val="00225FA2"/>
    <w:rsid w:val="00226290"/>
    <w:rsid w:val="00227FC4"/>
    <w:rsid w:val="002300B9"/>
    <w:rsid w:val="002308BF"/>
    <w:rsid w:val="00231D08"/>
    <w:rsid w:val="00232076"/>
    <w:rsid w:val="002320E0"/>
    <w:rsid w:val="00234B97"/>
    <w:rsid w:val="00234BBA"/>
    <w:rsid w:val="00235DF4"/>
    <w:rsid w:val="002367B9"/>
    <w:rsid w:val="00236ED3"/>
    <w:rsid w:val="002371D5"/>
    <w:rsid w:val="002373C9"/>
    <w:rsid w:val="00241E5B"/>
    <w:rsid w:val="0024540F"/>
    <w:rsid w:val="00245DEB"/>
    <w:rsid w:val="00245EDB"/>
    <w:rsid w:val="00246239"/>
    <w:rsid w:val="00246B59"/>
    <w:rsid w:val="00247466"/>
    <w:rsid w:val="00247A1E"/>
    <w:rsid w:val="00250E60"/>
    <w:rsid w:val="00251DC3"/>
    <w:rsid w:val="00252D6D"/>
    <w:rsid w:val="00255310"/>
    <w:rsid w:val="00256A4D"/>
    <w:rsid w:val="00257506"/>
    <w:rsid w:val="00257A69"/>
    <w:rsid w:val="0026025A"/>
    <w:rsid w:val="00260D84"/>
    <w:rsid w:val="00261474"/>
    <w:rsid w:val="00262BF3"/>
    <w:rsid w:val="002631EA"/>
    <w:rsid w:val="002638FF"/>
    <w:rsid w:val="00264142"/>
    <w:rsid w:val="002645C9"/>
    <w:rsid w:val="002652AD"/>
    <w:rsid w:val="0026608E"/>
    <w:rsid w:val="002677D5"/>
    <w:rsid w:val="002708D5"/>
    <w:rsid w:val="0027138F"/>
    <w:rsid w:val="002716AA"/>
    <w:rsid w:val="00272258"/>
    <w:rsid w:val="0027316D"/>
    <w:rsid w:val="00277716"/>
    <w:rsid w:val="002807DD"/>
    <w:rsid w:val="00280B40"/>
    <w:rsid w:val="00283CF9"/>
    <w:rsid w:val="00286B60"/>
    <w:rsid w:val="00286C6B"/>
    <w:rsid w:val="00287893"/>
    <w:rsid w:val="0029095C"/>
    <w:rsid w:val="00290C4E"/>
    <w:rsid w:val="00290CE9"/>
    <w:rsid w:val="00291E8C"/>
    <w:rsid w:val="00295E03"/>
    <w:rsid w:val="0029696E"/>
    <w:rsid w:val="00296A55"/>
    <w:rsid w:val="002971E9"/>
    <w:rsid w:val="002A05B5"/>
    <w:rsid w:val="002A5FCA"/>
    <w:rsid w:val="002B0EFB"/>
    <w:rsid w:val="002B2AF2"/>
    <w:rsid w:val="002B435F"/>
    <w:rsid w:val="002B529B"/>
    <w:rsid w:val="002B5774"/>
    <w:rsid w:val="002B6A7C"/>
    <w:rsid w:val="002C006A"/>
    <w:rsid w:val="002C1E8D"/>
    <w:rsid w:val="002C33FB"/>
    <w:rsid w:val="002C35E0"/>
    <w:rsid w:val="002C3CB4"/>
    <w:rsid w:val="002C3E97"/>
    <w:rsid w:val="002C514A"/>
    <w:rsid w:val="002C621C"/>
    <w:rsid w:val="002C68E9"/>
    <w:rsid w:val="002C69E7"/>
    <w:rsid w:val="002D4183"/>
    <w:rsid w:val="002D4E0B"/>
    <w:rsid w:val="002D5331"/>
    <w:rsid w:val="002D596D"/>
    <w:rsid w:val="002D5CC9"/>
    <w:rsid w:val="002D6722"/>
    <w:rsid w:val="002D7D5C"/>
    <w:rsid w:val="002E1136"/>
    <w:rsid w:val="002E32EC"/>
    <w:rsid w:val="002E4FB2"/>
    <w:rsid w:val="002E5871"/>
    <w:rsid w:val="002F07C2"/>
    <w:rsid w:val="002F119B"/>
    <w:rsid w:val="002F157E"/>
    <w:rsid w:val="002F3CC7"/>
    <w:rsid w:val="002F4C32"/>
    <w:rsid w:val="002F4C5F"/>
    <w:rsid w:val="002F5E13"/>
    <w:rsid w:val="00300359"/>
    <w:rsid w:val="0030213B"/>
    <w:rsid w:val="00302406"/>
    <w:rsid w:val="00304259"/>
    <w:rsid w:val="00304D9A"/>
    <w:rsid w:val="00305FB6"/>
    <w:rsid w:val="00306394"/>
    <w:rsid w:val="003107C9"/>
    <w:rsid w:val="00312059"/>
    <w:rsid w:val="00312BC8"/>
    <w:rsid w:val="00313A8A"/>
    <w:rsid w:val="00313C3D"/>
    <w:rsid w:val="003140D9"/>
    <w:rsid w:val="00315F59"/>
    <w:rsid w:val="00320177"/>
    <w:rsid w:val="0032120B"/>
    <w:rsid w:val="00323F76"/>
    <w:rsid w:val="00325968"/>
    <w:rsid w:val="003261C2"/>
    <w:rsid w:val="00326F32"/>
    <w:rsid w:val="003272CF"/>
    <w:rsid w:val="003307E3"/>
    <w:rsid w:val="00330C58"/>
    <w:rsid w:val="00331034"/>
    <w:rsid w:val="003325AC"/>
    <w:rsid w:val="003325B9"/>
    <w:rsid w:val="00334D26"/>
    <w:rsid w:val="00335880"/>
    <w:rsid w:val="00335939"/>
    <w:rsid w:val="00335D3F"/>
    <w:rsid w:val="003367C9"/>
    <w:rsid w:val="00336A81"/>
    <w:rsid w:val="00336E42"/>
    <w:rsid w:val="003379F0"/>
    <w:rsid w:val="00337CD8"/>
    <w:rsid w:val="00341BEE"/>
    <w:rsid w:val="00342C40"/>
    <w:rsid w:val="00343A3B"/>
    <w:rsid w:val="00343C05"/>
    <w:rsid w:val="00346C3E"/>
    <w:rsid w:val="00347864"/>
    <w:rsid w:val="003509D0"/>
    <w:rsid w:val="00350DC2"/>
    <w:rsid w:val="00353AA3"/>
    <w:rsid w:val="00354995"/>
    <w:rsid w:val="003554C4"/>
    <w:rsid w:val="00362DD7"/>
    <w:rsid w:val="003652F9"/>
    <w:rsid w:val="00366A8F"/>
    <w:rsid w:val="003672DD"/>
    <w:rsid w:val="00367346"/>
    <w:rsid w:val="0037046A"/>
    <w:rsid w:val="003708FD"/>
    <w:rsid w:val="00370931"/>
    <w:rsid w:val="003716D1"/>
    <w:rsid w:val="00371B18"/>
    <w:rsid w:val="00372BC0"/>
    <w:rsid w:val="00376558"/>
    <w:rsid w:val="00376BEB"/>
    <w:rsid w:val="00377391"/>
    <w:rsid w:val="0038185D"/>
    <w:rsid w:val="003840F5"/>
    <w:rsid w:val="00385550"/>
    <w:rsid w:val="00385E70"/>
    <w:rsid w:val="00386053"/>
    <w:rsid w:val="003870FD"/>
    <w:rsid w:val="0038775A"/>
    <w:rsid w:val="003877E1"/>
    <w:rsid w:val="0039034F"/>
    <w:rsid w:val="00392C62"/>
    <w:rsid w:val="003940B0"/>
    <w:rsid w:val="003948F3"/>
    <w:rsid w:val="003A0F49"/>
    <w:rsid w:val="003A5EC7"/>
    <w:rsid w:val="003A6747"/>
    <w:rsid w:val="003A6BF0"/>
    <w:rsid w:val="003B065C"/>
    <w:rsid w:val="003B0751"/>
    <w:rsid w:val="003B18AF"/>
    <w:rsid w:val="003B19B0"/>
    <w:rsid w:val="003B4223"/>
    <w:rsid w:val="003B4BAC"/>
    <w:rsid w:val="003B4BED"/>
    <w:rsid w:val="003B4F2D"/>
    <w:rsid w:val="003B5094"/>
    <w:rsid w:val="003B5391"/>
    <w:rsid w:val="003B65AC"/>
    <w:rsid w:val="003B7822"/>
    <w:rsid w:val="003C1EDB"/>
    <w:rsid w:val="003C216C"/>
    <w:rsid w:val="003C306C"/>
    <w:rsid w:val="003C3684"/>
    <w:rsid w:val="003C5568"/>
    <w:rsid w:val="003C6361"/>
    <w:rsid w:val="003C6513"/>
    <w:rsid w:val="003C7130"/>
    <w:rsid w:val="003C78E1"/>
    <w:rsid w:val="003D02B1"/>
    <w:rsid w:val="003D0328"/>
    <w:rsid w:val="003D06B3"/>
    <w:rsid w:val="003D0C62"/>
    <w:rsid w:val="003D1931"/>
    <w:rsid w:val="003D4FAD"/>
    <w:rsid w:val="003D6702"/>
    <w:rsid w:val="003D75DE"/>
    <w:rsid w:val="003E0628"/>
    <w:rsid w:val="003E1043"/>
    <w:rsid w:val="003E1EA2"/>
    <w:rsid w:val="003E2352"/>
    <w:rsid w:val="003E57A6"/>
    <w:rsid w:val="003E6BC8"/>
    <w:rsid w:val="003E71FB"/>
    <w:rsid w:val="003E7F07"/>
    <w:rsid w:val="003F3313"/>
    <w:rsid w:val="003F466E"/>
    <w:rsid w:val="003F4DE9"/>
    <w:rsid w:val="003F4F96"/>
    <w:rsid w:val="003F5586"/>
    <w:rsid w:val="003F7DC9"/>
    <w:rsid w:val="004007CE"/>
    <w:rsid w:val="0040094A"/>
    <w:rsid w:val="00400CBE"/>
    <w:rsid w:val="00402219"/>
    <w:rsid w:val="0040286E"/>
    <w:rsid w:val="00404197"/>
    <w:rsid w:val="00404D3B"/>
    <w:rsid w:val="00405CB7"/>
    <w:rsid w:val="0040630E"/>
    <w:rsid w:val="00407065"/>
    <w:rsid w:val="00412A68"/>
    <w:rsid w:val="00412D95"/>
    <w:rsid w:val="004144F6"/>
    <w:rsid w:val="00414833"/>
    <w:rsid w:val="00414C8D"/>
    <w:rsid w:val="00414D20"/>
    <w:rsid w:val="0041544A"/>
    <w:rsid w:val="00416589"/>
    <w:rsid w:val="00416E60"/>
    <w:rsid w:val="00417315"/>
    <w:rsid w:val="00420E87"/>
    <w:rsid w:val="00420FB4"/>
    <w:rsid w:val="00421F3F"/>
    <w:rsid w:val="00422BC7"/>
    <w:rsid w:val="0042368B"/>
    <w:rsid w:val="00424676"/>
    <w:rsid w:val="00424C02"/>
    <w:rsid w:val="00424FDE"/>
    <w:rsid w:val="00425D6B"/>
    <w:rsid w:val="00426302"/>
    <w:rsid w:val="004277E6"/>
    <w:rsid w:val="00427F42"/>
    <w:rsid w:val="00431D31"/>
    <w:rsid w:val="00432228"/>
    <w:rsid w:val="00432432"/>
    <w:rsid w:val="00433217"/>
    <w:rsid w:val="0043337B"/>
    <w:rsid w:val="00433455"/>
    <w:rsid w:val="0043397B"/>
    <w:rsid w:val="004339F7"/>
    <w:rsid w:val="004348E6"/>
    <w:rsid w:val="004404CD"/>
    <w:rsid w:val="00440A6C"/>
    <w:rsid w:val="00440BE3"/>
    <w:rsid w:val="00442EFC"/>
    <w:rsid w:val="0044323F"/>
    <w:rsid w:val="004434B7"/>
    <w:rsid w:val="00444931"/>
    <w:rsid w:val="00445E85"/>
    <w:rsid w:val="0044611F"/>
    <w:rsid w:val="00446906"/>
    <w:rsid w:val="004475AE"/>
    <w:rsid w:val="00447A48"/>
    <w:rsid w:val="00462564"/>
    <w:rsid w:val="00463117"/>
    <w:rsid w:val="00467E1B"/>
    <w:rsid w:val="00470B2D"/>
    <w:rsid w:val="0047121A"/>
    <w:rsid w:val="004721D5"/>
    <w:rsid w:val="004740F5"/>
    <w:rsid w:val="0047412F"/>
    <w:rsid w:val="00474D53"/>
    <w:rsid w:val="00480455"/>
    <w:rsid w:val="00480FDB"/>
    <w:rsid w:val="00481F2D"/>
    <w:rsid w:val="00482E95"/>
    <w:rsid w:val="00483424"/>
    <w:rsid w:val="004842B0"/>
    <w:rsid w:val="00484377"/>
    <w:rsid w:val="00484FC4"/>
    <w:rsid w:val="00485C4A"/>
    <w:rsid w:val="0048638E"/>
    <w:rsid w:val="00486EFC"/>
    <w:rsid w:val="004871B3"/>
    <w:rsid w:val="004872FA"/>
    <w:rsid w:val="00490006"/>
    <w:rsid w:val="0049123D"/>
    <w:rsid w:val="00492236"/>
    <w:rsid w:val="00492564"/>
    <w:rsid w:val="00492D64"/>
    <w:rsid w:val="0049508A"/>
    <w:rsid w:val="00496846"/>
    <w:rsid w:val="00497AD0"/>
    <w:rsid w:val="00497D9C"/>
    <w:rsid w:val="004A0FEE"/>
    <w:rsid w:val="004A1CE0"/>
    <w:rsid w:val="004A1D60"/>
    <w:rsid w:val="004A48F2"/>
    <w:rsid w:val="004A5019"/>
    <w:rsid w:val="004A6D8E"/>
    <w:rsid w:val="004A742D"/>
    <w:rsid w:val="004A7688"/>
    <w:rsid w:val="004A79E2"/>
    <w:rsid w:val="004B12FE"/>
    <w:rsid w:val="004B1DC3"/>
    <w:rsid w:val="004B485B"/>
    <w:rsid w:val="004B63A3"/>
    <w:rsid w:val="004B7E1D"/>
    <w:rsid w:val="004C0C71"/>
    <w:rsid w:val="004C1EFA"/>
    <w:rsid w:val="004C2AA4"/>
    <w:rsid w:val="004C30FD"/>
    <w:rsid w:val="004C3933"/>
    <w:rsid w:val="004C46B7"/>
    <w:rsid w:val="004C54D9"/>
    <w:rsid w:val="004C6425"/>
    <w:rsid w:val="004C6BF1"/>
    <w:rsid w:val="004C7807"/>
    <w:rsid w:val="004C7E34"/>
    <w:rsid w:val="004D0797"/>
    <w:rsid w:val="004D218B"/>
    <w:rsid w:val="004D3DCB"/>
    <w:rsid w:val="004D4318"/>
    <w:rsid w:val="004D51CF"/>
    <w:rsid w:val="004D5877"/>
    <w:rsid w:val="004D74BE"/>
    <w:rsid w:val="004D7C26"/>
    <w:rsid w:val="004E1001"/>
    <w:rsid w:val="004E2ED2"/>
    <w:rsid w:val="004E3A9D"/>
    <w:rsid w:val="004E3DBA"/>
    <w:rsid w:val="004E4E78"/>
    <w:rsid w:val="004E6DA1"/>
    <w:rsid w:val="004E730A"/>
    <w:rsid w:val="004E76E6"/>
    <w:rsid w:val="004E7B67"/>
    <w:rsid w:val="004F01F7"/>
    <w:rsid w:val="004F070A"/>
    <w:rsid w:val="004F149F"/>
    <w:rsid w:val="004F4AAB"/>
    <w:rsid w:val="004F6AA5"/>
    <w:rsid w:val="004F6CD0"/>
    <w:rsid w:val="004F7ECD"/>
    <w:rsid w:val="00501192"/>
    <w:rsid w:val="00503758"/>
    <w:rsid w:val="005044A8"/>
    <w:rsid w:val="00504808"/>
    <w:rsid w:val="00505679"/>
    <w:rsid w:val="005057AC"/>
    <w:rsid w:val="00505CA9"/>
    <w:rsid w:val="00507621"/>
    <w:rsid w:val="005102BB"/>
    <w:rsid w:val="005115EC"/>
    <w:rsid w:val="00511744"/>
    <w:rsid w:val="005140C8"/>
    <w:rsid w:val="00515366"/>
    <w:rsid w:val="00515DA2"/>
    <w:rsid w:val="005161B2"/>
    <w:rsid w:val="005174A1"/>
    <w:rsid w:val="005174C0"/>
    <w:rsid w:val="005175BC"/>
    <w:rsid w:val="005227F2"/>
    <w:rsid w:val="005229D7"/>
    <w:rsid w:val="00524397"/>
    <w:rsid w:val="00526AFC"/>
    <w:rsid w:val="00527EBD"/>
    <w:rsid w:val="0053272C"/>
    <w:rsid w:val="00533B3D"/>
    <w:rsid w:val="00535250"/>
    <w:rsid w:val="0053564F"/>
    <w:rsid w:val="00536FA2"/>
    <w:rsid w:val="00537563"/>
    <w:rsid w:val="00540C70"/>
    <w:rsid w:val="00541D8F"/>
    <w:rsid w:val="00544853"/>
    <w:rsid w:val="00545927"/>
    <w:rsid w:val="00545E6E"/>
    <w:rsid w:val="00550008"/>
    <w:rsid w:val="005504D2"/>
    <w:rsid w:val="00552179"/>
    <w:rsid w:val="0055219F"/>
    <w:rsid w:val="0055290C"/>
    <w:rsid w:val="00553806"/>
    <w:rsid w:val="00554CD1"/>
    <w:rsid w:val="00555C52"/>
    <w:rsid w:val="0055685E"/>
    <w:rsid w:val="00556962"/>
    <w:rsid w:val="0056000A"/>
    <w:rsid w:val="0056082B"/>
    <w:rsid w:val="005629CC"/>
    <w:rsid w:val="00562ED2"/>
    <w:rsid w:val="00563AD0"/>
    <w:rsid w:val="00564148"/>
    <w:rsid w:val="005641E3"/>
    <w:rsid w:val="00565470"/>
    <w:rsid w:val="005673A8"/>
    <w:rsid w:val="00567F44"/>
    <w:rsid w:val="0057022D"/>
    <w:rsid w:val="00570488"/>
    <w:rsid w:val="005705BB"/>
    <w:rsid w:val="005708A8"/>
    <w:rsid w:val="00571116"/>
    <w:rsid w:val="0057248A"/>
    <w:rsid w:val="00572681"/>
    <w:rsid w:val="00573BF0"/>
    <w:rsid w:val="00573C71"/>
    <w:rsid w:val="00573D2E"/>
    <w:rsid w:val="00575825"/>
    <w:rsid w:val="00576077"/>
    <w:rsid w:val="005767B2"/>
    <w:rsid w:val="00576C3C"/>
    <w:rsid w:val="00580DE4"/>
    <w:rsid w:val="00581CB8"/>
    <w:rsid w:val="00585997"/>
    <w:rsid w:val="00586271"/>
    <w:rsid w:val="00590D58"/>
    <w:rsid w:val="00591176"/>
    <w:rsid w:val="00591A7A"/>
    <w:rsid w:val="005923CF"/>
    <w:rsid w:val="005925FA"/>
    <w:rsid w:val="005938DD"/>
    <w:rsid w:val="00593DB1"/>
    <w:rsid w:val="00594167"/>
    <w:rsid w:val="0059428A"/>
    <w:rsid w:val="005959A7"/>
    <w:rsid w:val="0059643C"/>
    <w:rsid w:val="005A07F7"/>
    <w:rsid w:val="005A0B42"/>
    <w:rsid w:val="005A3AD1"/>
    <w:rsid w:val="005A49B3"/>
    <w:rsid w:val="005A52C1"/>
    <w:rsid w:val="005A53C4"/>
    <w:rsid w:val="005A5C42"/>
    <w:rsid w:val="005A65B3"/>
    <w:rsid w:val="005A69A5"/>
    <w:rsid w:val="005A6B1E"/>
    <w:rsid w:val="005B1A45"/>
    <w:rsid w:val="005B1C80"/>
    <w:rsid w:val="005B22B3"/>
    <w:rsid w:val="005B33D9"/>
    <w:rsid w:val="005B3A7B"/>
    <w:rsid w:val="005B4AF2"/>
    <w:rsid w:val="005B588B"/>
    <w:rsid w:val="005B705F"/>
    <w:rsid w:val="005C5A45"/>
    <w:rsid w:val="005C694C"/>
    <w:rsid w:val="005C71D1"/>
    <w:rsid w:val="005D1C61"/>
    <w:rsid w:val="005D5D76"/>
    <w:rsid w:val="005D64EE"/>
    <w:rsid w:val="005D710F"/>
    <w:rsid w:val="005D78DB"/>
    <w:rsid w:val="005E0A7B"/>
    <w:rsid w:val="005E29AD"/>
    <w:rsid w:val="005E2B74"/>
    <w:rsid w:val="005E2DDB"/>
    <w:rsid w:val="005E3241"/>
    <w:rsid w:val="005E328B"/>
    <w:rsid w:val="005E56A5"/>
    <w:rsid w:val="005E675A"/>
    <w:rsid w:val="005E6998"/>
    <w:rsid w:val="005E6EB3"/>
    <w:rsid w:val="005F07C4"/>
    <w:rsid w:val="005F08A9"/>
    <w:rsid w:val="005F2644"/>
    <w:rsid w:val="005F3906"/>
    <w:rsid w:val="005F6C3A"/>
    <w:rsid w:val="00602462"/>
    <w:rsid w:val="00604B47"/>
    <w:rsid w:val="00605DE4"/>
    <w:rsid w:val="006074C0"/>
    <w:rsid w:val="00607544"/>
    <w:rsid w:val="00613E28"/>
    <w:rsid w:val="00615658"/>
    <w:rsid w:val="00616E3F"/>
    <w:rsid w:val="00616ECD"/>
    <w:rsid w:val="006174BF"/>
    <w:rsid w:val="00617C84"/>
    <w:rsid w:val="006210E4"/>
    <w:rsid w:val="0062215C"/>
    <w:rsid w:val="00622279"/>
    <w:rsid w:val="00622E46"/>
    <w:rsid w:val="00623942"/>
    <w:rsid w:val="006247A5"/>
    <w:rsid w:val="00625B9B"/>
    <w:rsid w:val="00626106"/>
    <w:rsid w:val="006262E8"/>
    <w:rsid w:val="0063014B"/>
    <w:rsid w:val="00632FD9"/>
    <w:rsid w:val="00634A5D"/>
    <w:rsid w:val="0063589F"/>
    <w:rsid w:val="00635CAB"/>
    <w:rsid w:val="00636350"/>
    <w:rsid w:val="00641AD1"/>
    <w:rsid w:val="006441B5"/>
    <w:rsid w:val="006441E0"/>
    <w:rsid w:val="006445E2"/>
    <w:rsid w:val="0064527B"/>
    <w:rsid w:val="00646862"/>
    <w:rsid w:val="00647EC0"/>
    <w:rsid w:val="00650436"/>
    <w:rsid w:val="00650955"/>
    <w:rsid w:val="00650CC4"/>
    <w:rsid w:val="0065351F"/>
    <w:rsid w:val="00656431"/>
    <w:rsid w:val="00656C57"/>
    <w:rsid w:val="00657B8B"/>
    <w:rsid w:val="00657E52"/>
    <w:rsid w:val="0066158C"/>
    <w:rsid w:val="006626DD"/>
    <w:rsid w:val="0066363C"/>
    <w:rsid w:val="00663EFF"/>
    <w:rsid w:val="00665BD3"/>
    <w:rsid w:val="006662CA"/>
    <w:rsid w:val="006670C4"/>
    <w:rsid w:val="00670ADF"/>
    <w:rsid w:val="00671DF5"/>
    <w:rsid w:val="00672B28"/>
    <w:rsid w:val="006731AE"/>
    <w:rsid w:val="006743A9"/>
    <w:rsid w:val="00674D05"/>
    <w:rsid w:val="006759D3"/>
    <w:rsid w:val="00675DDC"/>
    <w:rsid w:val="00676282"/>
    <w:rsid w:val="00676767"/>
    <w:rsid w:val="00677DD4"/>
    <w:rsid w:val="00681168"/>
    <w:rsid w:val="0068271E"/>
    <w:rsid w:val="00685996"/>
    <w:rsid w:val="006862EB"/>
    <w:rsid w:val="00686FF6"/>
    <w:rsid w:val="0069082A"/>
    <w:rsid w:val="00691C19"/>
    <w:rsid w:val="00692A35"/>
    <w:rsid w:val="00692D07"/>
    <w:rsid w:val="00694223"/>
    <w:rsid w:val="0069454D"/>
    <w:rsid w:val="00694F2D"/>
    <w:rsid w:val="006964A5"/>
    <w:rsid w:val="00696AA4"/>
    <w:rsid w:val="00697C7B"/>
    <w:rsid w:val="006A01D6"/>
    <w:rsid w:val="006A0A3D"/>
    <w:rsid w:val="006A0CB6"/>
    <w:rsid w:val="006A35AD"/>
    <w:rsid w:val="006A3DA7"/>
    <w:rsid w:val="006A3F15"/>
    <w:rsid w:val="006A499C"/>
    <w:rsid w:val="006A6EE0"/>
    <w:rsid w:val="006A7A17"/>
    <w:rsid w:val="006B0A0F"/>
    <w:rsid w:val="006B329C"/>
    <w:rsid w:val="006B3419"/>
    <w:rsid w:val="006B368F"/>
    <w:rsid w:val="006B3D1A"/>
    <w:rsid w:val="006B3D29"/>
    <w:rsid w:val="006B6064"/>
    <w:rsid w:val="006B6E18"/>
    <w:rsid w:val="006C0CDC"/>
    <w:rsid w:val="006C1380"/>
    <w:rsid w:val="006C147B"/>
    <w:rsid w:val="006C1C3D"/>
    <w:rsid w:val="006C259F"/>
    <w:rsid w:val="006C2B3F"/>
    <w:rsid w:val="006C39EB"/>
    <w:rsid w:val="006C3CDF"/>
    <w:rsid w:val="006D038C"/>
    <w:rsid w:val="006D12B0"/>
    <w:rsid w:val="006D2323"/>
    <w:rsid w:val="006D2374"/>
    <w:rsid w:val="006D26B9"/>
    <w:rsid w:val="006D2D31"/>
    <w:rsid w:val="006D3B1E"/>
    <w:rsid w:val="006D3D6E"/>
    <w:rsid w:val="006D4294"/>
    <w:rsid w:val="006D71A5"/>
    <w:rsid w:val="006E054F"/>
    <w:rsid w:val="006E0F6D"/>
    <w:rsid w:val="006E1DAE"/>
    <w:rsid w:val="006E2712"/>
    <w:rsid w:val="006E3C53"/>
    <w:rsid w:val="006E40C8"/>
    <w:rsid w:val="006E4A62"/>
    <w:rsid w:val="006E6738"/>
    <w:rsid w:val="006E7530"/>
    <w:rsid w:val="006E7EB4"/>
    <w:rsid w:val="006F18FD"/>
    <w:rsid w:val="006F2192"/>
    <w:rsid w:val="006F3495"/>
    <w:rsid w:val="006F3DA8"/>
    <w:rsid w:val="006F4216"/>
    <w:rsid w:val="006F4462"/>
    <w:rsid w:val="006F4731"/>
    <w:rsid w:val="006F4C1F"/>
    <w:rsid w:val="006F5801"/>
    <w:rsid w:val="006F5EF2"/>
    <w:rsid w:val="006F76BC"/>
    <w:rsid w:val="007038ED"/>
    <w:rsid w:val="00703926"/>
    <w:rsid w:val="00704C9C"/>
    <w:rsid w:val="00704D1F"/>
    <w:rsid w:val="00705B5A"/>
    <w:rsid w:val="00706EA5"/>
    <w:rsid w:val="0070794E"/>
    <w:rsid w:val="00711C22"/>
    <w:rsid w:val="00712B95"/>
    <w:rsid w:val="00714C3B"/>
    <w:rsid w:val="0071701B"/>
    <w:rsid w:val="00717A1D"/>
    <w:rsid w:val="00720FE8"/>
    <w:rsid w:val="00722D14"/>
    <w:rsid w:val="007230BE"/>
    <w:rsid w:val="0072397D"/>
    <w:rsid w:val="007241F1"/>
    <w:rsid w:val="00727253"/>
    <w:rsid w:val="0073299A"/>
    <w:rsid w:val="00732E0D"/>
    <w:rsid w:val="0073427C"/>
    <w:rsid w:val="00734626"/>
    <w:rsid w:val="00735FE7"/>
    <w:rsid w:val="007360E8"/>
    <w:rsid w:val="00736BA5"/>
    <w:rsid w:val="00740A87"/>
    <w:rsid w:val="007455DA"/>
    <w:rsid w:val="00750B2C"/>
    <w:rsid w:val="007512E7"/>
    <w:rsid w:val="00751931"/>
    <w:rsid w:val="00752150"/>
    <w:rsid w:val="00752542"/>
    <w:rsid w:val="0075315E"/>
    <w:rsid w:val="007545F8"/>
    <w:rsid w:val="00756B4E"/>
    <w:rsid w:val="007576CE"/>
    <w:rsid w:val="0076030D"/>
    <w:rsid w:val="00761FE4"/>
    <w:rsid w:val="00761FFF"/>
    <w:rsid w:val="00762F88"/>
    <w:rsid w:val="0076568B"/>
    <w:rsid w:val="00765A97"/>
    <w:rsid w:val="00765B3C"/>
    <w:rsid w:val="0076680B"/>
    <w:rsid w:val="00766BC0"/>
    <w:rsid w:val="007678BC"/>
    <w:rsid w:val="007709CF"/>
    <w:rsid w:val="00772278"/>
    <w:rsid w:val="0077250D"/>
    <w:rsid w:val="00773FA3"/>
    <w:rsid w:val="007747F0"/>
    <w:rsid w:val="00777F2E"/>
    <w:rsid w:val="007800A5"/>
    <w:rsid w:val="00780547"/>
    <w:rsid w:val="007805BA"/>
    <w:rsid w:val="00780CC3"/>
    <w:rsid w:val="00781432"/>
    <w:rsid w:val="00781729"/>
    <w:rsid w:val="007818A2"/>
    <w:rsid w:val="007828BC"/>
    <w:rsid w:val="00783C49"/>
    <w:rsid w:val="007843E6"/>
    <w:rsid w:val="00784AA3"/>
    <w:rsid w:val="007856CE"/>
    <w:rsid w:val="00785BA4"/>
    <w:rsid w:val="007867DE"/>
    <w:rsid w:val="00786B0E"/>
    <w:rsid w:val="00786ED5"/>
    <w:rsid w:val="0079072B"/>
    <w:rsid w:val="00792500"/>
    <w:rsid w:val="00794AC7"/>
    <w:rsid w:val="00796F71"/>
    <w:rsid w:val="007A07C2"/>
    <w:rsid w:val="007A2760"/>
    <w:rsid w:val="007A34C8"/>
    <w:rsid w:val="007A3E60"/>
    <w:rsid w:val="007A4A0F"/>
    <w:rsid w:val="007A62C8"/>
    <w:rsid w:val="007A7CBE"/>
    <w:rsid w:val="007B089B"/>
    <w:rsid w:val="007B0DD0"/>
    <w:rsid w:val="007B10A0"/>
    <w:rsid w:val="007B1D9A"/>
    <w:rsid w:val="007B299B"/>
    <w:rsid w:val="007B3BD9"/>
    <w:rsid w:val="007B3F82"/>
    <w:rsid w:val="007B5179"/>
    <w:rsid w:val="007B61D3"/>
    <w:rsid w:val="007B6BC4"/>
    <w:rsid w:val="007B6F30"/>
    <w:rsid w:val="007B71CB"/>
    <w:rsid w:val="007B71D3"/>
    <w:rsid w:val="007B7220"/>
    <w:rsid w:val="007B76C4"/>
    <w:rsid w:val="007B7912"/>
    <w:rsid w:val="007C1376"/>
    <w:rsid w:val="007C29BE"/>
    <w:rsid w:val="007C29EE"/>
    <w:rsid w:val="007C2F35"/>
    <w:rsid w:val="007C5A04"/>
    <w:rsid w:val="007C66F8"/>
    <w:rsid w:val="007C7B72"/>
    <w:rsid w:val="007D02DD"/>
    <w:rsid w:val="007D02EA"/>
    <w:rsid w:val="007D0A41"/>
    <w:rsid w:val="007D1083"/>
    <w:rsid w:val="007D2C61"/>
    <w:rsid w:val="007D2D52"/>
    <w:rsid w:val="007D3029"/>
    <w:rsid w:val="007D501E"/>
    <w:rsid w:val="007D5FD3"/>
    <w:rsid w:val="007E00E1"/>
    <w:rsid w:val="007E07F6"/>
    <w:rsid w:val="007E2DC5"/>
    <w:rsid w:val="007E46EC"/>
    <w:rsid w:val="007E61FD"/>
    <w:rsid w:val="007E6577"/>
    <w:rsid w:val="007E6E47"/>
    <w:rsid w:val="007E7845"/>
    <w:rsid w:val="007F0457"/>
    <w:rsid w:val="007F06E8"/>
    <w:rsid w:val="007F1A49"/>
    <w:rsid w:val="007F2AC7"/>
    <w:rsid w:val="007F3278"/>
    <w:rsid w:val="007F4302"/>
    <w:rsid w:val="007F58B8"/>
    <w:rsid w:val="007F79F1"/>
    <w:rsid w:val="008019B7"/>
    <w:rsid w:val="00801C66"/>
    <w:rsid w:val="00802AE5"/>
    <w:rsid w:val="008034AB"/>
    <w:rsid w:val="00803908"/>
    <w:rsid w:val="00807578"/>
    <w:rsid w:val="00807A3E"/>
    <w:rsid w:val="008108DE"/>
    <w:rsid w:val="00811394"/>
    <w:rsid w:val="00812DD2"/>
    <w:rsid w:val="0081427C"/>
    <w:rsid w:val="00821115"/>
    <w:rsid w:val="00823577"/>
    <w:rsid w:val="00825AB9"/>
    <w:rsid w:val="008271F1"/>
    <w:rsid w:val="0082781A"/>
    <w:rsid w:val="00830991"/>
    <w:rsid w:val="008310B1"/>
    <w:rsid w:val="0083117F"/>
    <w:rsid w:val="00831543"/>
    <w:rsid w:val="00832904"/>
    <w:rsid w:val="00833547"/>
    <w:rsid w:val="008406D8"/>
    <w:rsid w:val="00840C5E"/>
    <w:rsid w:val="008445B6"/>
    <w:rsid w:val="00844651"/>
    <w:rsid w:val="008448D0"/>
    <w:rsid w:val="00844CD2"/>
    <w:rsid w:val="0084504B"/>
    <w:rsid w:val="008459BD"/>
    <w:rsid w:val="00847D32"/>
    <w:rsid w:val="0085148A"/>
    <w:rsid w:val="00852631"/>
    <w:rsid w:val="00852B77"/>
    <w:rsid w:val="00852D03"/>
    <w:rsid w:val="0085319D"/>
    <w:rsid w:val="00854326"/>
    <w:rsid w:val="00854A98"/>
    <w:rsid w:val="00856419"/>
    <w:rsid w:val="00856A33"/>
    <w:rsid w:val="00856AC8"/>
    <w:rsid w:val="00857151"/>
    <w:rsid w:val="00860530"/>
    <w:rsid w:val="0086073C"/>
    <w:rsid w:val="0086233C"/>
    <w:rsid w:val="00862705"/>
    <w:rsid w:val="0086430B"/>
    <w:rsid w:val="00864808"/>
    <w:rsid w:val="00865646"/>
    <w:rsid w:val="008670FB"/>
    <w:rsid w:val="008707DD"/>
    <w:rsid w:val="00870ADC"/>
    <w:rsid w:val="00870C1F"/>
    <w:rsid w:val="008712C9"/>
    <w:rsid w:val="008720A2"/>
    <w:rsid w:val="00872243"/>
    <w:rsid w:val="0087374A"/>
    <w:rsid w:val="008749E9"/>
    <w:rsid w:val="00875014"/>
    <w:rsid w:val="008757A2"/>
    <w:rsid w:val="00876C13"/>
    <w:rsid w:val="008771B1"/>
    <w:rsid w:val="0087723D"/>
    <w:rsid w:val="00877FF4"/>
    <w:rsid w:val="008802C3"/>
    <w:rsid w:val="008806DA"/>
    <w:rsid w:val="00881058"/>
    <w:rsid w:val="00881465"/>
    <w:rsid w:val="00883ED4"/>
    <w:rsid w:val="00884152"/>
    <w:rsid w:val="0088578D"/>
    <w:rsid w:val="00887AEC"/>
    <w:rsid w:val="00887E61"/>
    <w:rsid w:val="008919D1"/>
    <w:rsid w:val="00892FB8"/>
    <w:rsid w:val="00895BD3"/>
    <w:rsid w:val="008A0078"/>
    <w:rsid w:val="008A0679"/>
    <w:rsid w:val="008A1017"/>
    <w:rsid w:val="008A14B4"/>
    <w:rsid w:val="008A36E5"/>
    <w:rsid w:val="008A572C"/>
    <w:rsid w:val="008A5DD0"/>
    <w:rsid w:val="008B0E5E"/>
    <w:rsid w:val="008B64F7"/>
    <w:rsid w:val="008B6C87"/>
    <w:rsid w:val="008B7971"/>
    <w:rsid w:val="008C16E8"/>
    <w:rsid w:val="008C2442"/>
    <w:rsid w:val="008C2697"/>
    <w:rsid w:val="008C2E52"/>
    <w:rsid w:val="008C38A0"/>
    <w:rsid w:val="008C3FF8"/>
    <w:rsid w:val="008C46E6"/>
    <w:rsid w:val="008C4B98"/>
    <w:rsid w:val="008C57F1"/>
    <w:rsid w:val="008D0F75"/>
    <w:rsid w:val="008D4EF0"/>
    <w:rsid w:val="008D68CB"/>
    <w:rsid w:val="008D7AC0"/>
    <w:rsid w:val="008E0D2E"/>
    <w:rsid w:val="008E1404"/>
    <w:rsid w:val="008E19CD"/>
    <w:rsid w:val="008E32CB"/>
    <w:rsid w:val="008E5179"/>
    <w:rsid w:val="008E5572"/>
    <w:rsid w:val="008E72FD"/>
    <w:rsid w:val="008F1130"/>
    <w:rsid w:val="008F22C1"/>
    <w:rsid w:val="008F3337"/>
    <w:rsid w:val="009005A7"/>
    <w:rsid w:val="00900A5F"/>
    <w:rsid w:val="00901AA6"/>
    <w:rsid w:val="009025BE"/>
    <w:rsid w:val="00902785"/>
    <w:rsid w:val="00905EB5"/>
    <w:rsid w:val="00907FF2"/>
    <w:rsid w:val="0091006E"/>
    <w:rsid w:val="00911093"/>
    <w:rsid w:val="0091230E"/>
    <w:rsid w:val="00914190"/>
    <w:rsid w:val="00915079"/>
    <w:rsid w:val="00915AA3"/>
    <w:rsid w:val="00917896"/>
    <w:rsid w:val="009212FC"/>
    <w:rsid w:val="00921519"/>
    <w:rsid w:val="00923B78"/>
    <w:rsid w:val="009244C7"/>
    <w:rsid w:val="00925EF3"/>
    <w:rsid w:val="0093180F"/>
    <w:rsid w:val="0093282F"/>
    <w:rsid w:val="00932AA2"/>
    <w:rsid w:val="00932D6F"/>
    <w:rsid w:val="009342D6"/>
    <w:rsid w:val="00934369"/>
    <w:rsid w:val="00934AB3"/>
    <w:rsid w:val="009364CF"/>
    <w:rsid w:val="0093696B"/>
    <w:rsid w:val="0093699E"/>
    <w:rsid w:val="0093723F"/>
    <w:rsid w:val="009403DA"/>
    <w:rsid w:val="00942A02"/>
    <w:rsid w:val="009430EB"/>
    <w:rsid w:val="00943A31"/>
    <w:rsid w:val="0094494A"/>
    <w:rsid w:val="009449EE"/>
    <w:rsid w:val="00947248"/>
    <w:rsid w:val="00952DF8"/>
    <w:rsid w:val="00954A90"/>
    <w:rsid w:val="00956063"/>
    <w:rsid w:val="0095625F"/>
    <w:rsid w:val="009604C7"/>
    <w:rsid w:val="00961099"/>
    <w:rsid w:val="009613B1"/>
    <w:rsid w:val="00966464"/>
    <w:rsid w:val="009666AA"/>
    <w:rsid w:val="009676DE"/>
    <w:rsid w:val="00970747"/>
    <w:rsid w:val="0097179B"/>
    <w:rsid w:val="009727C1"/>
    <w:rsid w:val="00973ABA"/>
    <w:rsid w:val="00974045"/>
    <w:rsid w:val="00974DD8"/>
    <w:rsid w:val="00975253"/>
    <w:rsid w:val="00975C7A"/>
    <w:rsid w:val="009761E0"/>
    <w:rsid w:val="00976456"/>
    <w:rsid w:val="00976FDA"/>
    <w:rsid w:val="009778FA"/>
    <w:rsid w:val="00977E0C"/>
    <w:rsid w:val="009813F8"/>
    <w:rsid w:val="00982984"/>
    <w:rsid w:val="00982EF2"/>
    <w:rsid w:val="00983749"/>
    <w:rsid w:val="00983887"/>
    <w:rsid w:val="00985EC2"/>
    <w:rsid w:val="00987BA3"/>
    <w:rsid w:val="009900D5"/>
    <w:rsid w:val="00990270"/>
    <w:rsid w:val="00991B33"/>
    <w:rsid w:val="00993E5D"/>
    <w:rsid w:val="00994532"/>
    <w:rsid w:val="00996653"/>
    <w:rsid w:val="00997122"/>
    <w:rsid w:val="009A09FD"/>
    <w:rsid w:val="009A0E02"/>
    <w:rsid w:val="009A2617"/>
    <w:rsid w:val="009A5898"/>
    <w:rsid w:val="009A5CBF"/>
    <w:rsid w:val="009A60C0"/>
    <w:rsid w:val="009A6C1E"/>
    <w:rsid w:val="009A7AB6"/>
    <w:rsid w:val="009B154F"/>
    <w:rsid w:val="009B18A7"/>
    <w:rsid w:val="009B18CE"/>
    <w:rsid w:val="009B35FB"/>
    <w:rsid w:val="009B3A55"/>
    <w:rsid w:val="009B4C46"/>
    <w:rsid w:val="009B5E1C"/>
    <w:rsid w:val="009B6CD1"/>
    <w:rsid w:val="009C221B"/>
    <w:rsid w:val="009C293D"/>
    <w:rsid w:val="009C3763"/>
    <w:rsid w:val="009C556E"/>
    <w:rsid w:val="009C58BA"/>
    <w:rsid w:val="009C7326"/>
    <w:rsid w:val="009C7FE9"/>
    <w:rsid w:val="009D0116"/>
    <w:rsid w:val="009D1F49"/>
    <w:rsid w:val="009D2DBD"/>
    <w:rsid w:val="009D3175"/>
    <w:rsid w:val="009D4761"/>
    <w:rsid w:val="009D590C"/>
    <w:rsid w:val="009D6262"/>
    <w:rsid w:val="009E04CB"/>
    <w:rsid w:val="009E0F75"/>
    <w:rsid w:val="009E1A39"/>
    <w:rsid w:val="009E1BEE"/>
    <w:rsid w:val="009E1C97"/>
    <w:rsid w:val="009E2333"/>
    <w:rsid w:val="009E2FC5"/>
    <w:rsid w:val="009E7728"/>
    <w:rsid w:val="009F08F2"/>
    <w:rsid w:val="009F14A2"/>
    <w:rsid w:val="009F18D0"/>
    <w:rsid w:val="009F1CAD"/>
    <w:rsid w:val="009F241B"/>
    <w:rsid w:val="009F2DB6"/>
    <w:rsid w:val="009F3686"/>
    <w:rsid w:val="009F4240"/>
    <w:rsid w:val="009F4F5E"/>
    <w:rsid w:val="009F6560"/>
    <w:rsid w:val="009F6817"/>
    <w:rsid w:val="00A01021"/>
    <w:rsid w:val="00A01BAA"/>
    <w:rsid w:val="00A02030"/>
    <w:rsid w:val="00A02366"/>
    <w:rsid w:val="00A03EC2"/>
    <w:rsid w:val="00A0430A"/>
    <w:rsid w:val="00A04F96"/>
    <w:rsid w:val="00A057FC"/>
    <w:rsid w:val="00A078E6"/>
    <w:rsid w:val="00A10F81"/>
    <w:rsid w:val="00A12174"/>
    <w:rsid w:val="00A130D6"/>
    <w:rsid w:val="00A1538E"/>
    <w:rsid w:val="00A15C6F"/>
    <w:rsid w:val="00A16C65"/>
    <w:rsid w:val="00A16EF5"/>
    <w:rsid w:val="00A179E0"/>
    <w:rsid w:val="00A20862"/>
    <w:rsid w:val="00A250FA"/>
    <w:rsid w:val="00A252B7"/>
    <w:rsid w:val="00A25AEC"/>
    <w:rsid w:val="00A25B31"/>
    <w:rsid w:val="00A271DE"/>
    <w:rsid w:val="00A27F98"/>
    <w:rsid w:val="00A31CFB"/>
    <w:rsid w:val="00A31DD6"/>
    <w:rsid w:val="00A320A6"/>
    <w:rsid w:val="00A33032"/>
    <w:rsid w:val="00A33F87"/>
    <w:rsid w:val="00A35026"/>
    <w:rsid w:val="00A350EC"/>
    <w:rsid w:val="00A36FE8"/>
    <w:rsid w:val="00A37407"/>
    <w:rsid w:val="00A417D8"/>
    <w:rsid w:val="00A426F3"/>
    <w:rsid w:val="00A435C0"/>
    <w:rsid w:val="00A45E05"/>
    <w:rsid w:val="00A46EA4"/>
    <w:rsid w:val="00A47578"/>
    <w:rsid w:val="00A47DE6"/>
    <w:rsid w:val="00A50F1B"/>
    <w:rsid w:val="00A51483"/>
    <w:rsid w:val="00A51B5D"/>
    <w:rsid w:val="00A5271D"/>
    <w:rsid w:val="00A52C0C"/>
    <w:rsid w:val="00A545C4"/>
    <w:rsid w:val="00A552C7"/>
    <w:rsid w:val="00A56D57"/>
    <w:rsid w:val="00A577F7"/>
    <w:rsid w:val="00A57F54"/>
    <w:rsid w:val="00A618D0"/>
    <w:rsid w:val="00A63BD1"/>
    <w:rsid w:val="00A6488F"/>
    <w:rsid w:val="00A6689F"/>
    <w:rsid w:val="00A70EC6"/>
    <w:rsid w:val="00A7144C"/>
    <w:rsid w:val="00A7269D"/>
    <w:rsid w:val="00A73697"/>
    <w:rsid w:val="00A73CDD"/>
    <w:rsid w:val="00A73ED0"/>
    <w:rsid w:val="00A74A9C"/>
    <w:rsid w:val="00A74AD9"/>
    <w:rsid w:val="00A74F59"/>
    <w:rsid w:val="00A7669A"/>
    <w:rsid w:val="00A77758"/>
    <w:rsid w:val="00A77818"/>
    <w:rsid w:val="00A8080E"/>
    <w:rsid w:val="00A8188A"/>
    <w:rsid w:val="00A84240"/>
    <w:rsid w:val="00A84F77"/>
    <w:rsid w:val="00A85601"/>
    <w:rsid w:val="00A85CDE"/>
    <w:rsid w:val="00A901B4"/>
    <w:rsid w:val="00A9039F"/>
    <w:rsid w:val="00A905E1"/>
    <w:rsid w:val="00A907E6"/>
    <w:rsid w:val="00A90ABF"/>
    <w:rsid w:val="00A91E6D"/>
    <w:rsid w:val="00A927A3"/>
    <w:rsid w:val="00A92C9C"/>
    <w:rsid w:val="00A95162"/>
    <w:rsid w:val="00A9589C"/>
    <w:rsid w:val="00A961E6"/>
    <w:rsid w:val="00A97B33"/>
    <w:rsid w:val="00AA0EB1"/>
    <w:rsid w:val="00AA12F6"/>
    <w:rsid w:val="00AA221F"/>
    <w:rsid w:val="00AA2C05"/>
    <w:rsid w:val="00AA2CA9"/>
    <w:rsid w:val="00AA4069"/>
    <w:rsid w:val="00AB0258"/>
    <w:rsid w:val="00AB3E6A"/>
    <w:rsid w:val="00AB3FD5"/>
    <w:rsid w:val="00AB473E"/>
    <w:rsid w:val="00AB562D"/>
    <w:rsid w:val="00AB60C9"/>
    <w:rsid w:val="00AB695C"/>
    <w:rsid w:val="00AC1AF7"/>
    <w:rsid w:val="00AC33B0"/>
    <w:rsid w:val="00AC4E13"/>
    <w:rsid w:val="00AC51DB"/>
    <w:rsid w:val="00AC5461"/>
    <w:rsid w:val="00AC6732"/>
    <w:rsid w:val="00AD2840"/>
    <w:rsid w:val="00AD36E9"/>
    <w:rsid w:val="00AD412B"/>
    <w:rsid w:val="00AD5501"/>
    <w:rsid w:val="00AE782F"/>
    <w:rsid w:val="00AE7D6E"/>
    <w:rsid w:val="00AF09EC"/>
    <w:rsid w:val="00AF0E53"/>
    <w:rsid w:val="00AF1715"/>
    <w:rsid w:val="00AF1B60"/>
    <w:rsid w:val="00AF425C"/>
    <w:rsid w:val="00AF4995"/>
    <w:rsid w:val="00AF4CAF"/>
    <w:rsid w:val="00AF4F07"/>
    <w:rsid w:val="00AF71DF"/>
    <w:rsid w:val="00AF74BF"/>
    <w:rsid w:val="00B00C92"/>
    <w:rsid w:val="00B013CC"/>
    <w:rsid w:val="00B01C74"/>
    <w:rsid w:val="00B03445"/>
    <w:rsid w:val="00B044FD"/>
    <w:rsid w:val="00B04766"/>
    <w:rsid w:val="00B064C8"/>
    <w:rsid w:val="00B1141A"/>
    <w:rsid w:val="00B12BA8"/>
    <w:rsid w:val="00B133C6"/>
    <w:rsid w:val="00B13472"/>
    <w:rsid w:val="00B15CAB"/>
    <w:rsid w:val="00B173D3"/>
    <w:rsid w:val="00B17461"/>
    <w:rsid w:val="00B20AD1"/>
    <w:rsid w:val="00B21099"/>
    <w:rsid w:val="00B21C76"/>
    <w:rsid w:val="00B2254B"/>
    <w:rsid w:val="00B25B8F"/>
    <w:rsid w:val="00B25C5C"/>
    <w:rsid w:val="00B261EE"/>
    <w:rsid w:val="00B27A27"/>
    <w:rsid w:val="00B352E0"/>
    <w:rsid w:val="00B35AF8"/>
    <w:rsid w:val="00B3613A"/>
    <w:rsid w:val="00B361BC"/>
    <w:rsid w:val="00B36FBA"/>
    <w:rsid w:val="00B40383"/>
    <w:rsid w:val="00B414FB"/>
    <w:rsid w:val="00B43D46"/>
    <w:rsid w:val="00B44CAE"/>
    <w:rsid w:val="00B46CAA"/>
    <w:rsid w:val="00B51DF1"/>
    <w:rsid w:val="00B53E45"/>
    <w:rsid w:val="00B53EF9"/>
    <w:rsid w:val="00B54ECC"/>
    <w:rsid w:val="00B55712"/>
    <w:rsid w:val="00B55B95"/>
    <w:rsid w:val="00B55E35"/>
    <w:rsid w:val="00B56169"/>
    <w:rsid w:val="00B56D1D"/>
    <w:rsid w:val="00B57553"/>
    <w:rsid w:val="00B57C1D"/>
    <w:rsid w:val="00B60DC8"/>
    <w:rsid w:val="00B6179F"/>
    <w:rsid w:val="00B61D0D"/>
    <w:rsid w:val="00B62619"/>
    <w:rsid w:val="00B63DE0"/>
    <w:rsid w:val="00B64838"/>
    <w:rsid w:val="00B64BD7"/>
    <w:rsid w:val="00B65577"/>
    <w:rsid w:val="00B668CA"/>
    <w:rsid w:val="00B70B11"/>
    <w:rsid w:val="00B71AE8"/>
    <w:rsid w:val="00B71DEA"/>
    <w:rsid w:val="00B72783"/>
    <w:rsid w:val="00B738F6"/>
    <w:rsid w:val="00B766BC"/>
    <w:rsid w:val="00B76BD4"/>
    <w:rsid w:val="00B77039"/>
    <w:rsid w:val="00B811FE"/>
    <w:rsid w:val="00B819CC"/>
    <w:rsid w:val="00B825C0"/>
    <w:rsid w:val="00B82A96"/>
    <w:rsid w:val="00B82E9D"/>
    <w:rsid w:val="00B84017"/>
    <w:rsid w:val="00B84618"/>
    <w:rsid w:val="00B85B74"/>
    <w:rsid w:val="00B87C22"/>
    <w:rsid w:val="00B87F20"/>
    <w:rsid w:val="00B91293"/>
    <w:rsid w:val="00B91980"/>
    <w:rsid w:val="00B91BCA"/>
    <w:rsid w:val="00B931DA"/>
    <w:rsid w:val="00B93838"/>
    <w:rsid w:val="00B9473C"/>
    <w:rsid w:val="00B95647"/>
    <w:rsid w:val="00B96351"/>
    <w:rsid w:val="00B96C46"/>
    <w:rsid w:val="00B96E8E"/>
    <w:rsid w:val="00B9729D"/>
    <w:rsid w:val="00BA138C"/>
    <w:rsid w:val="00BA25E8"/>
    <w:rsid w:val="00BA4C4C"/>
    <w:rsid w:val="00BA58EF"/>
    <w:rsid w:val="00BA59E9"/>
    <w:rsid w:val="00BA5F2A"/>
    <w:rsid w:val="00BA61FC"/>
    <w:rsid w:val="00BA6242"/>
    <w:rsid w:val="00BA62C7"/>
    <w:rsid w:val="00BA7335"/>
    <w:rsid w:val="00BA77F5"/>
    <w:rsid w:val="00BA7920"/>
    <w:rsid w:val="00BA7EF3"/>
    <w:rsid w:val="00BB1AA0"/>
    <w:rsid w:val="00BB2260"/>
    <w:rsid w:val="00BB2ED8"/>
    <w:rsid w:val="00BB51FB"/>
    <w:rsid w:val="00BB55D9"/>
    <w:rsid w:val="00BB5DC5"/>
    <w:rsid w:val="00BB610A"/>
    <w:rsid w:val="00BB66CD"/>
    <w:rsid w:val="00BB6827"/>
    <w:rsid w:val="00BB6941"/>
    <w:rsid w:val="00BB7200"/>
    <w:rsid w:val="00BB7E30"/>
    <w:rsid w:val="00BC0A91"/>
    <w:rsid w:val="00BC13E6"/>
    <w:rsid w:val="00BC1818"/>
    <w:rsid w:val="00BC1946"/>
    <w:rsid w:val="00BC3788"/>
    <w:rsid w:val="00BC523D"/>
    <w:rsid w:val="00BC60E5"/>
    <w:rsid w:val="00BC72C9"/>
    <w:rsid w:val="00BD0EF9"/>
    <w:rsid w:val="00BD3C0F"/>
    <w:rsid w:val="00BD4CCB"/>
    <w:rsid w:val="00BD4F24"/>
    <w:rsid w:val="00BD5273"/>
    <w:rsid w:val="00BD5E08"/>
    <w:rsid w:val="00BD6795"/>
    <w:rsid w:val="00BD6C5F"/>
    <w:rsid w:val="00BE0F7A"/>
    <w:rsid w:val="00BE1093"/>
    <w:rsid w:val="00BE11D0"/>
    <w:rsid w:val="00BE1363"/>
    <w:rsid w:val="00BE1A96"/>
    <w:rsid w:val="00BE53C5"/>
    <w:rsid w:val="00BE7A8B"/>
    <w:rsid w:val="00BF061D"/>
    <w:rsid w:val="00BF2310"/>
    <w:rsid w:val="00BF2482"/>
    <w:rsid w:val="00BF2AD3"/>
    <w:rsid w:val="00BF2D30"/>
    <w:rsid w:val="00BF2D6C"/>
    <w:rsid w:val="00BF2E07"/>
    <w:rsid w:val="00BF3077"/>
    <w:rsid w:val="00BF3A79"/>
    <w:rsid w:val="00BF3B71"/>
    <w:rsid w:val="00BF5C97"/>
    <w:rsid w:val="00BF7EA9"/>
    <w:rsid w:val="00C00A52"/>
    <w:rsid w:val="00C02303"/>
    <w:rsid w:val="00C0642C"/>
    <w:rsid w:val="00C0651F"/>
    <w:rsid w:val="00C07362"/>
    <w:rsid w:val="00C13D9C"/>
    <w:rsid w:val="00C14CA5"/>
    <w:rsid w:val="00C15509"/>
    <w:rsid w:val="00C15F7A"/>
    <w:rsid w:val="00C1647B"/>
    <w:rsid w:val="00C164E1"/>
    <w:rsid w:val="00C20041"/>
    <w:rsid w:val="00C201E5"/>
    <w:rsid w:val="00C207AF"/>
    <w:rsid w:val="00C2227D"/>
    <w:rsid w:val="00C22551"/>
    <w:rsid w:val="00C22790"/>
    <w:rsid w:val="00C239FE"/>
    <w:rsid w:val="00C23B10"/>
    <w:rsid w:val="00C247B4"/>
    <w:rsid w:val="00C24F89"/>
    <w:rsid w:val="00C25454"/>
    <w:rsid w:val="00C262DB"/>
    <w:rsid w:val="00C274C3"/>
    <w:rsid w:val="00C2774A"/>
    <w:rsid w:val="00C30E7B"/>
    <w:rsid w:val="00C31168"/>
    <w:rsid w:val="00C31BB0"/>
    <w:rsid w:val="00C340CB"/>
    <w:rsid w:val="00C355C2"/>
    <w:rsid w:val="00C367ED"/>
    <w:rsid w:val="00C368F5"/>
    <w:rsid w:val="00C37073"/>
    <w:rsid w:val="00C379F9"/>
    <w:rsid w:val="00C37B64"/>
    <w:rsid w:val="00C421D8"/>
    <w:rsid w:val="00C43C75"/>
    <w:rsid w:val="00C452CC"/>
    <w:rsid w:val="00C46949"/>
    <w:rsid w:val="00C46C6A"/>
    <w:rsid w:val="00C4742A"/>
    <w:rsid w:val="00C4790B"/>
    <w:rsid w:val="00C50414"/>
    <w:rsid w:val="00C50EDC"/>
    <w:rsid w:val="00C52049"/>
    <w:rsid w:val="00C5273D"/>
    <w:rsid w:val="00C52DFA"/>
    <w:rsid w:val="00C53300"/>
    <w:rsid w:val="00C61BBD"/>
    <w:rsid w:val="00C63266"/>
    <w:rsid w:val="00C63638"/>
    <w:rsid w:val="00C64199"/>
    <w:rsid w:val="00C65376"/>
    <w:rsid w:val="00C66535"/>
    <w:rsid w:val="00C668C8"/>
    <w:rsid w:val="00C70E0C"/>
    <w:rsid w:val="00C7104A"/>
    <w:rsid w:val="00C73B6C"/>
    <w:rsid w:val="00C75509"/>
    <w:rsid w:val="00C800FC"/>
    <w:rsid w:val="00C81EE7"/>
    <w:rsid w:val="00C83C20"/>
    <w:rsid w:val="00C859B3"/>
    <w:rsid w:val="00C8648F"/>
    <w:rsid w:val="00C86B5C"/>
    <w:rsid w:val="00C8790A"/>
    <w:rsid w:val="00C917E2"/>
    <w:rsid w:val="00C9305F"/>
    <w:rsid w:val="00C958DF"/>
    <w:rsid w:val="00C9602A"/>
    <w:rsid w:val="00C9646C"/>
    <w:rsid w:val="00C9734D"/>
    <w:rsid w:val="00C974D8"/>
    <w:rsid w:val="00CA0D9B"/>
    <w:rsid w:val="00CA3A4D"/>
    <w:rsid w:val="00CA48B5"/>
    <w:rsid w:val="00CA5211"/>
    <w:rsid w:val="00CA57D6"/>
    <w:rsid w:val="00CA5826"/>
    <w:rsid w:val="00CB0038"/>
    <w:rsid w:val="00CB481D"/>
    <w:rsid w:val="00CB50CD"/>
    <w:rsid w:val="00CB5663"/>
    <w:rsid w:val="00CB6866"/>
    <w:rsid w:val="00CB68A6"/>
    <w:rsid w:val="00CB6C9A"/>
    <w:rsid w:val="00CB75FA"/>
    <w:rsid w:val="00CB76BA"/>
    <w:rsid w:val="00CC27D4"/>
    <w:rsid w:val="00CC4D20"/>
    <w:rsid w:val="00CC64F2"/>
    <w:rsid w:val="00CC718C"/>
    <w:rsid w:val="00CD13F2"/>
    <w:rsid w:val="00CD1764"/>
    <w:rsid w:val="00CD2299"/>
    <w:rsid w:val="00CD2B31"/>
    <w:rsid w:val="00CD3F7A"/>
    <w:rsid w:val="00CD43CA"/>
    <w:rsid w:val="00CD4C36"/>
    <w:rsid w:val="00CD5330"/>
    <w:rsid w:val="00CD5387"/>
    <w:rsid w:val="00CD7992"/>
    <w:rsid w:val="00CE0778"/>
    <w:rsid w:val="00CE0DB8"/>
    <w:rsid w:val="00CE1CB1"/>
    <w:rsid w:val="00CE28E5"/>
    <w:rsid w:val="00CE290B"/>
    <w:rsid w:val="00CE3C74"/>
    <w:rsid w:val="00CE427A"/>
    <w:rsid w:val="00CE5FE2"/>
    <w:rsid w:val="00CF086A"/>
    <w:rsid w:val="00CF1EA3"/>
    <w:rsid w:val="00CF387F"/>
    <w:rsid w:val="00CF3F39"/>
    <w:rsid w:val="00CF3FD7"/>
    <w:rsid w:val="00CF5AC8"/>
    <w:rsid w:val="00CF66A4"/>
    <w:rsid w:val="00D00917"/>
    <w:rsid w:val="00D00D5A"/>
    <w:rsid w:val="00D02C71"/>
    <w:rsid w:val="00D0349E"/>
    <w:rsid w:val="00D0368A"/>
    <w:rsid w:val="00D03828"/>
    <w:rsid w:val="00D04581"/>
    <w:rsid w:val="00D060E6"/>
    <w:rsid w:val="00D072F7"/>
    <w:rsid w:val="00D07897"/>
    <w:rsid w:val="00D07C00"/>
    <w:rsid w:val="00D10D83"/>
    <w:rsid w:val="00D1117C"/>
    <w:rsid w:val="00D1382F"/>
    <w:rsid w:val="00D13A16"/>
    <w:rsid w:val="00D16141"/>
    <w:rsid w:val="00D163BC"/>
    <w:rsid w:val="00D16A58"/>
    <w:rsid w:val="00D17FA1"/>
    <w:rsid w:val="00D2003D"/>
    <w:rsid w:val="00D22342"/>
    <w:rsid w:val="00D225FB"/>
    <w:rsid w:val="00D23857"/>
    <w:rsid w:val="00D24416"/>
    <w:rsid w:val="00D25A7D"/>
    <w:rsid w:val="00D25A89"/>
    <w:rsid w:val="00D30460"/>
    <w:rsid w:val="00D32482"/>
    <w:rsid w:val="00D33201"/>
    <w:rsid w:val="00D33C09"/>
    <w:rsid w:val="00D3439D"/>
    <w:rsid w:val="00D36C05"/>
    <w:rsid w:val="00D41369"/>
    <w:rsid w:val="00D442B3"/>
    <w:rsid w:val="00D44C5D"/>
    <w:rsid w:val="00D45B36"/>
    <w:rsid w:val="00D5052E"/>
    <w:rsid w:val="00D506ED"/>
    <w:rsid w:val="00D50DEA"/>
    <w:rsid w:val="00D52239"/>
    <w:rsid w:val="00D52678"/>
    <w:rsid w:val="00D534BF"/>
    <w:rsid w:val="00D54130"/>
    <w:rsid w:val="00D545CA"/>
    <w:rsid w:val="00D550CF"/>
    <w:rsid w:val="00D56E5D"/>
    <w:rsid w:val="00D609CF"/>
    <w:rsid w:val="00D61DF1"/>
    <w:rsid w:val="00D6252A"/>
    <w:rsid w:val="00D62C14"/>
    <w:rsid w:val="00D64353"/>
    <w:rsid w:val="00D6446F"/>
    <w:rsid w:val="00D64E6F"/>
    <w:rsid w:val="00D64EB8"/>
    <w:rsid w:val="00D654A1"/>
    <w:rsid w:val="00D661EC"/>
    <w:rsid w:val="00D66D34"/>
    <w:rsid w:val="00D67CD6"/>
    <w:rsid w:val="00D70544"/>
    <w:rsid w:val="00D70B4F"/>
    <w:rsid w:val="00D71663"/>
    <w:rsid w:val="00D7178E"/>
    <w:rsid w:val="00D73A21"/>
    <w:rsid w:val="00D749B9"/>
    <w:rsid w:val="00D75842"/>
    <w:rsid w:val="00D773BB"/>
    <w:rsid w:val="00D77568"/>
    <w:rsid w:val="00D7795D"/>
    <w:rsid w:val="00D80B19"/>
    <w:rsid w:val="00D831F6"/>
    <w:rsid w:val="00D84A0A"/>
    <w:rsid w:val="00D84ED4"/>
    <w:rsid w:val="00D87E4B"/>
    <w:rsid w:val="00D87F38"/>
    <w:rsid w:val="00D91E64"/>
    <w:rsid w:val="00D938E5"/>
    <w:rsid w:val="00DA0179"/>
    <w:rsid w:val="00DA1258"/>
    <w:rsid w:val="00DA369D"/>
    <w:rsid w:val="00DA36CC"/>
    <w:rsid w:val="00DA5FBF"/>
    <w:rsid w:val="00DA77DE"/>
    <w:rsid w:val="00DA7BD2"/>
    <w:rsid w:val="00DB11D5"/>
    <w:rsid w:val="00DB14B8"/>
    <w:rsid w:val="00DB399C"/>
    <w:rsid w:val="00DB420F"/>
    <w:rsid w:val="00DB4B3D"/>
    <w:rsid w:val="00DB5926"/>
    <w:rsid w:val="00DB5D7E"/>
    <w:rsid w:val="00DB646A"/>
    <w:rsid w:val="00DB6C43"/>
    <w:rsid w:val="00DB76D8"/>
    <w:rsid w:val="00DC095B"/>
    <w:rsid w:val="00DC0D14"/>
    <w:rsid w:val="00DC251C"/>
    <w:rsid w:val="00DC2869"/>
    <w:rsid w:val="00DC35D8"/>
    <w:rsid w:val="00DC4BD1"/>
    <w:rsid w:val="00DC4D20"/>
    <w:rsid w:val="00DC5824"/>
    <w:rsid w:val="00DC651A"/>
    <w:rsid w:val="00DC7CB2"/>
    <w:rsid w:val="00DD19B3"/>
    <w:rsid w:val="00DD2ED0"/>
    <w:rsid w:val="00DD6C77"/>
    <w:rsid w:val="00DD7BC8"/>
    <w:rsid w:val="00DE0288"/>
    <w:rsid w:val="00DE1DDF"/>
    <w:rsid w:val="00DE3D55"/>
    <w:rsid w:val="00DE6BA4"/>
    <w:rsid w:val="00DE7C44"/>
    <w:rsid w:val="00DF113B"/>
    <w:rsid w:val="00DF27D5"/>
    <w:rsid w:val="00DF2DB2"/>
    <w:rsid w:val="00DF48D1"/>
    <w:rsid w:val="00DF53F8"/>
    <w:rsid w:val="00DF5F86"/>
    <w:rsid w:val="00DF66A7"/>
    <w:rsid w:val="00DF7388"/>
    <w:rsid w:val="00DF740B"/>
    <w:rsid w:val="00DF7C28"/>
    <w:rsid w:val="00E05365"/>
    <w:rsid w:val="00E05A69"/>
    <w:rsid w:val="00E10612"/>
    <w:rsid w:val="00E10C58"/>
    <w:rsid w:val="00E11C83"/>
    <w:rsid w:val="00E12398"/>
    <w:rsid w:val="00E1248D"/>
    <w:rsid w:val="00E12539"/>
    <w:rsid w:val="00E14614"/>
    <w:rsid w:val="00E1713B"/>
    <w:rsid w:val="00E2116C"/>
    <w:rsid w:val="00E21291"/>
    <w:rsid w:val="00E22CAF"/>
    <w:rsid w:val="00E23CAF"/>
    <w:rsid w:val="00E23F87"/>
    <w:rsid w:val="00E25E91"/>
    <w:rsid w:val="00E25F3A"/>
    <w:rsid w:val="00E26076"/>
    <w:rsid w:val="00E2663C"/>
    <w:rsid w:val="00E2676C"/>
    <w:rsid w:val="00E31B94"/>
    <w:rsid w:val="00E325DD"/>
    <w:rsid w:val="00E32B0F"/>
    <w:rsid w:val="00E334D2"/>
    <w:rsid w:val="00E34A5B"/>
    <w:rsid w:val="00E34E71"/>
    <w:rsid w:val="00E36AB0"/>
    <w:rsid w:val="00E372D9"/>
    <w:rsid w:val="00E376BD"/>
    <w:rsid w:val="00E37847"/>
    <w:rsid w:val="00E3790A"/>
    <w:rsid w:val="00E37CD4"/>
    <w:rsid w:val="00E40201"/>
    <w:rsid w:val="00E40D7F"/>
    <w:rsid w:val="00E45267"/>
    <w:rsid w:val="00E45AB8"/>
    <w:rsid w:val="00E46327"/>
    <w:rsid w:val="00E47265"/>
    <w:rsid w:val="00E47610"/>
    <w:rsid w:val="00E47891"/>
    <w:rsid w:val="00E501CE"/>
    <w:rsid w:val="00E50351"/>
    <w:rsid w:val="00E51670"/>
    <w:rsid w:val="00E51A01"/>
    <w:rsid w:val="00E51EDA"/>
    <w:rsid w:val="00E5483C"/>
    <w:rsid w:val="00E54EAF"/>
    <w:rsid w:val="00E555B4"/>
    <w:rsid w:val="00E558D8"/>
    <w:rsid w:val="00E55982"/>
    <w:rsid w:val="00E56839"/>
    <w:rsid w:val="00E57690"/>
    <w:rsid w:val="00E606D4"/>
    <w:rsid w:val="00E61EE3"/>
    <w:rsid w:val="00E63780"/>
    <w:rsid w:val="00E63BF3"/>
    <w:rsid w:val="00E65705"/>
    <w:rsid w:val="00E6602D"/>
    <w:rsid w:val="00E67DA6"/>
    <w:rsid w:val="00E71523"/>
    <w:rsid w:val="00E72234"/>
    <w:rsid w:val="00E722C3"/>
    <w:rsid w:val="00E72F8F"/>
    <w:rsid w:val="00E735EA"/>
    <w:rsid w:val="00E746E7"/>
    <w:rsid w:val="00E7531D"/>
    <w:rsid w:val="00E75356"/>
    <w:rsid w:val="00E76F79"/>
    <w:rsid w:val="00E816A3"/>
    <w:rsid w:val="00E81E53"/>
    <w:rsid w:val="00E82B5B"/>
    <w:rsid w:val="00E8307A"/>
    <w:rsid w:val="00E83797"/>
    <w:rsid w:val="00E83DEA"/>
    <w:rsid w:val="00E844DD"/>
    <w:rsid w:val="00E855E9"/>
    <w:rsid w:val="00E86238"/>
    <w:rsid w:val="00E86258"/>
    <w:rsid w:val="00E87E36"/>
    <w:rsid w:val="00E900EC"/>
    <w:rsid w:val="00E91273"/>
    <w:rsid w:val="00E9234D"/>
    <w:rsid w:val="00E92763"/>
    <w:rsid w:val="00E93C5F"/>
    <w:rsid w:val="00E957FD"/>
    <w:rsid w:val="00E97035"/>
    <w:rsid w:val="00E97BAA"/>
    <w:rsid w:val="00EA04DD"/>
    <w:rsid w:val="00EA2002"/>
    <w:rsid w:val="00EA4AE7"/>
    <w:rsid w:val="00EA4C05"/>
    <w:rsid w:val="00EB0573"/>
    <w:rsid w:val="00EB1127"/>
    <w:rsid w:val="00EB136D"/>
    <w:rsid w:val="00EB2150"/>
    <w:rsid w:val="00EB300B"/>
    <w:rsid w:val="00EB30B6"/>
    <w:rsid w:val="00EB3806"/>
    <w:rsid w:val="00EB4E0D"/>
    <w:rsid w:val="00EB5050"/>
    <w:rsid w:val="00EB5B94"/>
    <w:rsid w:val="00EB6A85"/>
    <w:rsid w:val="00EC0979"/>
    <w:rsid w:val="00EC33F9"/>
    <w:rsid w:val="00EC581C"/>
    <w:rsid w:val="00EC6CB3"/>
    <w:rsid w:val="00EC7D1B"/>
    <w:rsid w:val="00ED0A6E"/>
    <w:rsid w:val="00ED119D"/>
    <w:rsid w:val="00ED2CF8"/>
    <w:rsid w:val="00ED368C"/>
    <w:rsid w:val="00ED418E"/>
    <w:rsid w:val="00ED51AD"/>
    <w:rsid w:val="00ED59D8"/>
    <w:rsid w:val="00ED5EF9"/>
    <w:rsid w:val="00EE0CA4"/>
    <w:rsid w:val="00EE1F4D"/>
    <w:rsid w:val="00EE1F54"/>
    <w:rsid w:val="00EE2456"/>
    <w:rsid w:val="00EE3E92"/>
    <w:rsid w:val="00EE488F"/>
    <w:rsid w:val="00EE4C30"/>
    <w:rsid w:val="00EE6A6D"/>
    <w:rsid w:val="00EE72B2"/>
    <w:rsid w:val="00EF0567"/>
    <w:rsid w:val="00EF05BE"/>
    <w:rsid w:val="00EF2270"/>
    <w:rsid w:val="00EF32E3"/>
    <w:rsid w:val="00EF33E6"/>
    <w:rsid w:val="00EF3B48"/>
    <w:rsid w:val="00EF4532"/>
    <w:rsid w:val="00EF64ED"/>
    <w:rsid w:val="00EF6F5B"/>
    <w:rsid w:val="00EF7F31"/>
    <w:rsid w:val="00F005CD"/>
    <w:rsid w:val="00F00D74"/>
    <w:rsid w:val="00F0141E"/>
    <w:rsid w:val="00F020BC"/>
    <w:rsid w:val="00F02767"/>
    <w:rsid w:val="00F03975"/>
    <w:rsid w:val="00F03E08"/>
    <w:rsid w:val="00F04971"/>
    <w:rsid w:val="00F04C50"/>
    <w:rsid w:val="00F04D4B"/>
    <w:rsid w:val="00F0625B"/>
    <w:rsid w:val="00F0775D"/>
    <w:rsid w:val="00F108BD"/>
    <w:rsid w:val="00F10CFC"/>
    <w:rsid w:val="00F12913"/>
    <w:rsid w:val="00F12DF2"/>
    <w:rsid w:val="00F13015"/>
    <w:rsid w:val="00F1383A"/>
    <w:rsid w:val="00F15224"/>
    <w:rsid w:val="00F15752"/>
    <w:rsid w:val="00F16361"/>
    <w:rsid w:val="00F1642D"/>
    <w:rsid w:val="00F21D2F"/>
    <w:rsid w:val="00F21F6E"/>
    <w:rsid w:val="00F234B4"/>
    <w:rsid w:val="00F2615C"/>
    <w:rsid w:val="00F26A46"/>
    <w:rsid w:val="00F278CD"/>
    <w:rsid w:val="00F31B9C"/>
    <w:rsid w:val="00F320BB"/>
    <w:rsid w:val="00F32191"/>
    <w:rsid w:val="00F32338"/>
    <w:rsid w:val="00F324CD"/>
    <w:rsid w:val="00F329F6"/>
    <w:rsid w:val="00F350FF"/>
    <w:rsid w:val="00F35D7C"/>
    <w:rsid w:val="00F36645"/>
    <w:rsid w:val="00F374F8"/>
    <w:rsid w:val="00F37A49"/>
    <w:rsid w:val="00F37B8F"/>
    <w:rsid w:val="00F37C07"/>
    <w:rsid w:val="00F40FFC"/>
    <w:rsid w:val="00F42676"/>
    <w:rsid w:val="00F4301B"/>
    <w:rsid w:val="00F4346E"/>
    <w:rsid w:val="00F44195"/>
    <w:rsid w:val="00F51150"/>
    <w:rsid w:val="00F513AC"/>
    <w:rsid w:val="00F51EB0"/>
    <w:rsid w:val="00F53DDD"/>
    <w:rsid w:val="00F547EB"/>
    <w:rsid w:val="00F555EC"/>
    <w:rsid w:val="00F55A49"/>
    <w:rsid w:val="00F56332"/>
    <w:rsid w:val="00F5715F"/>
    <w:rsid w:val="00F57BAA"/>
    <w:rsid w:val="00F60828"/>
    <w:rsid w:val="00F62919"/>
    <w:rsid w:val="00F63722"/>
    <w:rsid w:val="00F6391D"/>
    <w:rsid w:val="00F64C1C"/>
    <w:rsid w:val="00F67C1A"/>
    <w:rsid w:val="00F7056E"/>
    <w:rsid w:val="00F707CB"/>
    <w:rsid w:val="00F70A72"/>
    <w:rsid w:val="00F71314"/>
    <w:rsid w:val="00F73123"/>
    <w:rsid w:val="00F73523"/>
    <w:rsid w:val="00F75258"/>
    <w:rsid w:val="00F755F5"/>
    <w:rsid w:val="00F7585C"/>
    <w:rsid w:val="00F75B0F"/>
    <w:rsid w:val="00F763C6"/>
    <w:rsid w:val="00F80063"/>
    <w:rsid w:val="00F8055A"/>
    <w:rsid w:val="00F80D85"/>
    <w:rsid w:val="00F816FA"/>
    <w:rsid w:val="00F81AA4"/>
    <w:rsid w:val="00F81ED0"/>
    <w:rsid w:val="00F8362D"/>
    <w:rsid w:val="00F845D1"/>
    <w:rsid w:val="00F8600A"/>
    <w:rsid w:val="00F860DB"/>
    <w:rsid w:val="00F8767B"/>
    <w:rsid w:val="00F87A3A"/>
    <w:rsid w:val="00F9070D"/>
    <w:rsid w:val="00F93E71"/>
    <w:rsid w:val="00F96038"/>
    <w:rsid w:val="00F961EC"/>
    <w:rsid w:val="00F9670F"/>
    <w:rsid w:val="00FA195F"/>
    <w:rsid w:val="00FA2561"/>
    <w:rsid w:val="00FA288B"/>
    <w:rsid w:val="00FA32EE"/>
    <w:rsid w:val="00FA43B5"/>
    <w:rsid w:val="00FA4D54"/>
    <w:rsid w:val="00FA4F7C"/>
    <w:rsid w:val="00FA65F1"/>
    <w:rsid w:val="00FA79F5"/>
    <w:rsid w:val="00FB0AE6"/>
    <w:rsid w:val="00FB0BE2"/>
    <w:rsid w:val="00FB1195"/>
    <w:rsid w:val="00FB3B2C"/>
    <w:rsid w:val="00FB43A0"/>
    <w:rsid w:val="00FB502D"/>
    <w:rsid w:val="00FB54B0"/>
    <w:rsid w:val="00FB6A79"/>
    <w:rsid w:val="00FC0F0D"/>
    <w:rsid w:val="00FC1C4E"/>
    <w:rsid w:val="00FC1CA5"/>
    <w:rsid w:val="00FC23CA"/>
    <w:rsid w:val="00FC3AB4"/>
    <w:rsid w:val="00FC43E8"/>
    <w:rsid w:val="00FC4DBB"/>
    <w:rsid w:val="00FC789B"/>
    <w:rsid w:val="00FD162E"/>
    <w:rsid w:val="00FD1A02"/>
    <w:rsid w:val="00FD1F39"/>
    <w:rsid w:val="00FD1F42"/>
    <w:rsid w:val="00FD3369"/>
    <w:rsid w:val="00FD3B28"/>
    <w:rsid w:val="00FD4A7F"/>
    <w:rsid w:val="00FD4E42"/>
    <w:rsid w:val="00FD6C6D"/>
    <w:rsid w:val="00FD7457"/>
    <w:rsid w:val="00FE0106"/>
    <w:rsid w:val="00FE03E5"/>
    <w:rsid w:val="00FE05C8"/>
    <w:rsid w:val="00FE136D"/>
    <w:rsid w:val="00FE1557"/>
    <w:rsid w:val="00FE2D48"/>
    <w:rsid w:val="00FE3927"/>
    <w:rsid w:val="00FE52E9"/>
    <w:rsid w:val="00FE756A"/>
    <w:rsid w:val="00FE7A15"/>
    <w:rsid w:val="00FE7B46"/>
    <w:rsid w:val="00FF05C6"/>
    <w:rsid w:val="00FF0752"/>
    <w:rsid w:val="00FF1C88"/>
    <w:rsid w:val="00FF3525"/>
    <w:rsid w:val="00FF3535"/>
    <w:rsid w:val="00FF44F9"/>
    <w:rsid w:val="00FF49FA"/>
    <w:rsid w:val="00FF5489"/>
    <w:rsid w:val="00FF5E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F1AC26F-A463-4FE3-8EF4-8476683A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21F"/>
    <w:pPr>
      <w:spacing w:after="200" w:line="276" w:lineRule="auto"/>
    </w:pPr>
    <w:rPr>
      <w:rFonts w:ascii="Calibri" w:hAnsi="Calibri"/>
      <w:sz w:val="22"/>
      <w:szCs w:val="22"/>
    </w:rPr>
  </w:style>
  <w:style w:type="paragraph" w:styleId="Titre1">
    <w:name w:val="heading 1"/>
    <w:basedOn w:val="Normal"/>
    <w:next w:val="Normal"/>
    <w:link w:val="Titre1Car"/>
    <w:autoRedefine/>
    <w:qFormat/>
    <w:rsid w:val="0044323F"/>
    <w:pPr>
      <w:keepNext/>
      <w:spacing w:after="0"/>
      <w:ind w:left="357" w:hanging="357"/>
      <w:outlineLvl w:val="0"/>
    </w:pPr>
    <w:rPr>
      <w:rFonts w:ascii="Trebuchet MS" w:eastAsia="Times New Roman" w:hAnsi="Trebuchet MS"/>
      <w:b/>
      <w:sz w:val="24"/>
      <w:szCs w:val="24"/>
      <w:lang w:eastAsia="fr-FR"/>
    </w:rPr>
  </w:style>
  <w:style w:type="paragraph" w:styleId="Titre2">
    <w:name w:val="heading 2"/>
    <w:basedOn w:val="Bibliographie"/>
    <w:next w:val="Normal"/>
    <w:link w:val="Titre2Car"/>
    <w:autoRedefine/>
    <w:unhideWhenUsed/>
    <w:qFormat/>
    <w:rsid w:val="000F50F6"/>
    <w:pPr>
      <w:keepNext/>
      <w:pBdr>
        <w:bottom w:val="single" w:sz="24" w:space="1" w:color="0070C0"/>
      </w:pBdr>
      <w:tabs>
        <w:tab w:val="left" w:pos="709"/>
      </w:tabs>
      <w:spacing w:before="240" w:after="60"/>
      <w:ind w:left="567"/>
      <w:jc w:val="both"/>
      <w:outlineLvl w:val="1"/>
    </w:pPr>
    <w:rPr>
      <w:rFonts w:ascii="Trebuchet MS" w:eastAsiaTheme="majorEastAsia" w:hAnsi="Trebuchet MS" w:cstheme="majorBidi"/>
      <w:b/>
      <w:bCs/>
      <w:iCs/>
      <w:color w:val="0070C0"/>
      <w:sz w:val="28"/>
      <w:szCs w:val="28"/>
    </w:rPr>
  </w:style>
  <w:style w:type="paragraph" w:styleId="Titre3">
    <w:name w:val="heading 3"/>
    <w:basedOn w:val="Normal"/>
    <w:next w:val="Normal"/>
    <w:link w:val="Titre3Car"/>
    <w:autoRedefine/>
    <w:unhideWhenUsed/>
    <w:qFormat/>
    <w:rsid w:val="000F50F6"/>
    <w:pPr>
      <w:keepNext/>
      <w:numPr>
        <w:ilvl w:val="1"/>
        <w:numId w:val="6"/>
      </w:numPr>
      <w:spacing w:before="240" w:after="60"/>
      <w:outlineLvl w:val="2"/>
    </w:pPr>
    <w:rPr>
      <w:rFonts w:ascii="Trebuchet MS" w:eastAsiaTheme="majorEastAsia" w:hAnsi="Trebuchet MS" w:cstheme="majorBidi"/>
      <w:b/>
      <w:bCs/>
      <w:sz w:val="26"/>
      <w:szCs w:val="26"/>
    </w:rPr>
  </w:style>
  <w:style w:type="paragraph" w:styleId="Titre4">
    <w:name w:val="heading 4"/>
    <w:basedOn w:val="Normal"/>
    <w:next w:val="Normal"/>
    <w:link w:val="Titre4Car"/>
    <w:autoRedefine/>
    <w:unhideWhenUsed/>
    <w:qFormat/>
    <w:rsid w:val="000F50F6"/>
    <w:pPr>
      <w:keepNext/>
      <w:keepLines/>
      <w:tabs>
        <w:tab w:val="left" w:pos="851"/>
        <w:tab w:val="left" w:pos="1134"/>
      </w:tabs>
      <w:spacing w:after="240"/>
      <w:outlineLvl w:val="3"/>
    </w:pPr>
    <w:rPr>
      <w:rFonts w:ascii="Trebuchet MS" w:eastAsiaTheme="majorEastAsia" w:hAnsi="Trebuchet MS" w:cstheme="majorBidi"/>
      <w:b/>
      <w:bCs/>
      <w:iCs/>
      <w:sz w:val="24"/>
    </w:rPr>
  </w:style>
  <w:style w:type="paragraph" w:styleId="Titre5">
    <w:name w:val="heading 5"/>
    <w:basedOn w:val="Normal"/>
    <w:next w:val="Normal"/>
    <w:link w:val="Titre5Car"/>
    <w:autoRedefine/>
    <w:unhideWhenUsed/>
    <w:qFormat/>
    <w:rsid w:val="00632FD9"/>
    <w:pPr>
      <w:keepNext/>
      <w:keepLines/>
      <w:tabs>
        <w:tab w:val="left" w:pos="0"/>
        <w:tab w:val="left" w:pos="1843"/>
      </w:tabs>
      <w:spacing w:before="200" w:line="240" w:lineRule="auto"/>
      <w:ind w:left="78"/>
      <w:outlineLvl w:val="4"/>
    </w:pPr>
    <w:rPr>
      <w:rFonts w:ascii="Trebuchet MS" w:hAnsi="Trebuchet MS" w:cstheme="majorBidi"/>
      <w:b/>
    </w:rPr>
  </w:style>
  <w:style w:type="paragraph" w:styleId="Titre6">
    <w:name w:val="heading 6"/>
    <w:basedOn w:val="Normal"/>
    <w:next w:val="Normal"/>
    <w:link w:val="Titre6Car"/>
    <w:autoRedefine/>
    <w:unhideWhenUsed/>
    <w:qFormat/>
    <w:rsid w:val="00F1383A"/>
    <w:pPr>
      <w:keepNext/>
      <w:keepLines/>
      <w:numPr>
        <w:ilvl w:val="4"/>
        <w:numId w:val="2"/>
      </w:numPr>
      <w:spacing w:before="200" w:after="0"/>
      <w:outlineLvl w:val="5"/>
    </w:pPr>
    <w:rPr>
      <w:rFonts w:ascii="Trebuchet MS" w:eastAsiaTheme="majorEastAsia" w:hAnsi="Trebuchet MS" w:cstheme="majorBidi"/>
      <w:b/>
      <w:iCs/>
    </w:rPr>
  </w:style>
  <w:style w:type="paragraph" w:styleId="Titre7">
    <w:name w:val="heading 7"/>
    <w:basedOn w:val="Normal"/>
    <w:next w:val="Normal"/>
    <w:link w:val="Titre7Car"/>
    <w:uiPriority w:val="9"/>
    <w:semiHidden/>
    <w:unhideWhenUsed/>
    <w:qFormat/>
    <w:rsid w:val="009D2DB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en-US"/>
    </w:rPr>
  </w:style>
  <w:style w:type="paragraph" w:styleId="Titre8">
    <w:name w:val="heading 8"/>
    <w:basedOn w:val="Normal"/>
    <w:next w:val="Normal"/>
    <w:link w:val="Titre8Car"/>
    <w:uiPriority w:val="9"/>
    <w:unhideWhenUsed/>
    <w:qFormat/>
    <w:rsid w:val="009D2DB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0F50F6"/>
    <w:rPr>
      <w:rFonts w:ascii="Trebuchet MS" w:eastAsiaTheme="majorEastAsia" w:hAnsi="Trebuchet MS" w:cstheme="majorBidi"/>
      <w:b/>
      <w:bCs/>
      <w:iCs/>
      <w:color w:val="0070C0"/>
      <w:sz w:val="28"/>
      <w:szCs w:val="28"/>
    </w:rPr>
  </w:style>
  <w:style w:type="character" w:customStyle="1" w:styleId="Titre3Car">
    <w:name w:val="Titre 3 Car"/>
    <w:basedOn w:val="Policepardfaut"/>
    <w:link w:val="Titre3"/>
    <w:rsid w:val="000F50F6"/>
    <w:rPr>
      <w:rFonts w:ascii="Trebuchet MS" w:eastAsiaTheme="majorEastAsia" w:hAnsi="Trebuchet MS" w:cstheme="majorBidi"/>
      <w:b/>
      <w:bCs/>
      <w:sz w:val="26"/>
      <w:szCs w:val="26"/>
    </w:rPr>
  </w:style>
  <w:style w:type="character" w:styleId="lev">
    <w:name w:val="Strong"/>
    <w:basedOn w:val="Policepardfaut"/>
    <w:qFormat/>
    <w:rsid w:val="00AA221F"/>
    <w:rPr>
      <w:b/>
      <w:bCs/>
    </w:rPr>
  </w:style>
  <w:style w:type="character" w:customStyle="1" w:styleId="Titre1Car">
    <w:name w:val="Titre 1 Car"/>
    <w:basedOn w:val="Policepardfaut"/>
    <w:link w:val="Titre1"/>
    <w:rsid w:val="0044323F"/>
    <w:rPr>
      <w:rFonts w:ascii="Trebuchet MS" w:eastAsia="Times New Roman" w:hAnsi="Trebuchet MS"/>
      <w:b/>
      <w:sz w:val="24"/>
      <w:szCs w:val="24"/>
      <w:lang w:eastAsia="fr-FR"/>
    </w:rPr>
  </w:style>
  <w:style w:type="paragraph" w:styleId="Lgende">
    <w:name w:val="caption"/>
    <w:basedOn w:val="Normal"/>
    <w:next w:val="Normal"/>
    <w:unhideWhenUsed/>
    <w:qFormat/>
    <w:rsid w:val="00AA221F"/>
    <w:rPr>
      <w:b/>
      <w:bCs/>
      <w:sz w:val="20"/>
      <w:szCs w:val="20"/>
    </w:rPr>
  </w:style>
  <w:style w:type="paragraph" w:styleId="Paragraphedeliste">
    <w:name w:val="List Paragraph"/>
    <w:basedOn w:val="Normal"/>
    <w:link w:val="ParagraphedelisteCar"/>
    <w:uiPriority w:val="34"/>
    <w:qFormat/>
    <w:rsid w:val="00AA221F"/>
    <w:pPr>
      <w:ind w:left="720"/>
      <w:contextualSpacing/>
    </w:pPr>
  </w:style>
  <w:style w:type="paragraph" w:styleId="Textedebulles">
    <w:name w:val="Balloon Text"/>
    <w:basedOn w:val="Normal"/>
    <w:link w:val="TextedebullesCar"/>
    <w:semiHidden/>
    <w:unhideWhenUsed/>
    <w:rsid w:val="00223B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3BCE"/>
    <w:rPr>
      <w:rFonts w:ascii="Tahoma" w:hAnsi="Tahoma" w:cs="Tahoma"/>
      <w:sz w:val="16"/>
      <w:szCs w:val="16"/>
      <w:lang w:eastAsia="en-US"/>
    </w:rPr>
  </w:style>
  <w:style w:type="character" w:customStyle="1" w:styleId="ParagraphedelisteCar">
    <w:name w:val="Paragraphe de liste Car"/>
    <w:link w:val="Paragraphedeliste"/>
    <w:locked/>
    <w:rsid w:val="002638FF"/>
    <w:rPr>
      <w:rFonts w:ascii="Calibri" w:hAnsi="Calibri"/>
      <w:sz w:val="22"/>
      <w:szCs w:val="22"/>
      <w:lang w:eastAsia="en-US"/>
    </w:rPr>
  </w:style>
  <w:style w:type="paragraph" w:styleId="Corpsdetexte">
    <w:name w:val="Body Text"/>
    <w:basedOn w:val="Normal"/>
    <w:link w:val="CorpsdetexteCar"/>
    <w:rsid w:val="002638FF"/>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2638FF"/>
    <w:rPr>
      <w:rFonts w:eastAsia="Times New Roman"/>
      <w:sz w:val="24"/>
      <w:szCs w:val="24"/>
    </w:rPr>
  </w:style>
  <w:style w:type="paragraph" w:styleId="Titre">
    <w:name w:val="Title"/>
    <w:basedOn w:val="Normal"/>
    <w:next w:val="Normal"/>
    <w:link w:val="TitreCar"/>
    <w:autoRedefine/>
    <w:qFormat/>
    <w:rsid w:val="0076568B"/>
    <w:pPr>
      <w:pBdr>
        <w:bottom w:val="single" w:sz="8" w:space="4" w:color="4F81BD" w:themeColor="accent1"/>
      </w:pBdr>
      <w:spacing w:after="300" w:line="240" w:lineRule="auto"/>
      <w:contextualSpacing/>
      <w:jc w:val="both"/>
    </w:pPr>
    <w:rPr>
      <w:rFonts w:ascii="Trebuchet MS" w:eastAsiaTheme="majorEastAsia" w:hAnsi="Trebuchet MS" w:cstheme="majorBidi"/>
      <w:b/>
      <w:spacing w:val="5"/>
      <w:kern w:val="28"/>
      <w:sz w:val="28"/>
      <w:szCs w:val="52"/>
    </w:rPr>
  </w:style>
  <w:style w:type="character" w:customStyle="1" w:styleId="TitreCar">
    <w:name w:val="Titre Car"/>
    <w:basedOn w:val="Policepardfaut"/>
    <w:link w:val="Titre"/>
    <w:rsid w:val="0076568B"/>
    <w:rPr>
      <w:rFonts w:ascii="Trebuchet MS" w:eastAsiaTheme="majorEastAsia" w:hAnsi="Trebuchet MS" w:cstheme="majorBidi"/>
      <w:b/>
      <w:spacing w:val="5"/>
      <w:kern w:val="28"/>
      <w:sz w:val="28"/>
      <w:szCs w:val="52"/>
    </w:rPr>
  </w:style>
  <w:style w:type="paragraph" w:styleId="Sous-titre">
    <w:name w:val="Subtitle"/>
    <w:basedOn w:val="Normal"/>
    <w:next w:val="Normal"/>
    <w:link w:val="Sous-titreCar"/>
    <w:autoRedefine/>
    <w:qFormat/>
    <w:rsid w:val="002807DD"/>
    <w:pPr>
      <w:numPr>
        <w:ilvl w:val="1"/>
      </w:numPr>
    </w:pPr>
    <w:rPr>
      <w:rFonts w:ascii="Trebuchet MS" w:eastAsiaTheme="majorEastAsia" w:hAnsi="Trebuchet MS" w:cstheme="majorBidi"/>
      <w:b/>
      <w:iCs/>
      <w:spacing w:val="15"/>
      <w:sz w:val="24"/>
      <w:szCs w:val="24"/>
    </w:rPr>
  </w:style>
  <w:style w:type="character" w:customStyle="1" w:styleId="Sous-titreCar">
    <w:name w:val="Sous-titre Car"/>
    <w:basedOn w:val="Policepardfaut"/>
    <w:link w:val="Sous-titre"/>
    <w:rsid w:val="002807DD"/>
    <w:rPr>
      <w:rFonts w:ascii="Trebuchet MS" w:eastAsiaTheme="majorEastAsia" w:hAnsi="Trebuchet MS" w:cstheme="majorBidi"/>
      <w:b/>
      <w:iCs/>
      <w:spacing w:val="15"/>
      <w:sz w:val="24"/>
      <w:szCs w:val="24"/>
    </w:rPr>
  </w:style>
  <w:style w:type="paragraph" w:styleId="TM1">
    <w:name w:val="toc 1"/>
    <w:basedOn w:val="Normal"/>
    <w:next w:val="Normal"/>
    <w:autoRedefine/>
    <w:uiPriority w:val="39"/>
    <w:unhideWhenUsed/>
    <w:rsid w:val="00FD162E"/>
    <w:pPr>
      <w:spacing w:before="120" w:after="120"/>
      <w:jc w:val="both"/>
    </w:pPr>
    <w:rPr>
      <w:rFonts w:ascii="Trebuchet MS" w:hAnsi="Trebuchet MS"/>
      <w:sz w:val="20"/>
    </w:rPr>
  </w:style>
  <w:style w:type="paragraph" w:styleId="Tabledesillustrations">
    <w:name w:val="table of figures"/>
    <w:basedOn w:val="Normal"/>
    <w:next w:val="Normal"/>
    <w:uiPriority w:val="99"/>
    <w:unhideWhenUsed/>
    <w:rsid w:val="004434B7"/>
    <w:pPr>
      <w:spacing w:after="0"/>
    </w:pPr>
  </w:style>
  <w:style w:type="paragraph" w:styleId="TM2">
    <w:name w:val="toc 2"/>
    <w:basedOn w:val="Normal"/>
    <w:next w:val="Normal"/>
    <w:autoRedefine/>
    <w:uiPriority w:val="39"/>
    <w:unhideWhenUsed/>
    <w:rsid w:val="004434B7"/>
    <w:pPr>
      <w:spacing w:after="100"/>
      <w:ind w:left="220"/>
    </w:pPr>
  </w:style>
  <w:style w:type="character" w:styleId="Lienhypertexte">
    <w:name w:val="Hyperlink"/>
    <w:basedOn w:val="Policepardfaut"/>
    <w:uiPriority w:val="99"/>
    <w:unhideWhenUsed/>
    <w:rsid w:val="004434B7"/>
    <w:rPr>
      <w:color w:val="0000FF" w:themeColor="hyperlink"/>
      <w:u w:val="single"/>
    </w:rPr>
  </w:style>
  <w:style w:type="character" w:customStyle="1" w:styleId="Titre4Car">
    <w:name w:val="Titre 4 Car"/>
    <w:basedOn w:val="Policepardfaut"/>
    <w:link w:val="Titre4"/>
    <w:rsid w:val="000F50F6"/>
    <w:rPr>
      <w:rFonts w:ascii="Trebuchet MS" w:eastAsiaTheme="majorEastAsia" w:hAnsi="Trebuchet MS" w:cstheme="majorBidi"/>
      <w:b/>
      <w:bCs/>
      <w:iCs/>
      <w:sz w:val="24"/>
      <w:szCs w:val="22"/>
    </w:rPr>
  </w:style>
  <w:style w:type="paragraph" w:styleId="TM3">
    <w:name w:val="toc 3"/>
    <w:basedOn w:val="Normal"/>
    <w:next w:val="Normal"/>
    <w:autoRedefine/>
    <w:uiPriority w:val="39"/>
    <w:unhideWhenUsed/>
    <w:rsid w:val="00F10CFC"/>
    <w:pPr>
      <w:spacing w:after="100"/>
      <w:ind w:left="440"/>
    </w:pPr>
  </w:style>
  <w:style w:type="paragraph" w:styleId="TM4">
    <w:name w:val="toc 4"/>
    <w:basedOn w:val="Normal"/>
    <w:next w:val="Normal"/>
    <w:autoRedefine/>
    <w:uiPriority w:val="39"/>
    <w:unhideWhenUsed/>
    <w:rsid w:val="00F10CFC"/>
    <w:pPr>
      <w:spacing w:after="100"/>
      <w:ind w:left="660"/>
    </w:pPr>
  </w:style>
  <w:style w:type="paragraph" w:styleId="En-tte">
    <w:name w:val="header"/>
    <w:basedOn w:val="Normal"/>
    <w:link w:val="En-tteCar"/>
    <w:unhideWhenUsed/>
    <w:rsid w:val="00636350"/>
    <w:pPr>
      <w:tabs>
        <w:tab w:val="center" w:pos="4536"/>
        <w:tab w:val="right" w:pos="9072"/>
      </w:tabs>
      <w:spacing w:after="0" w:line="240" w:lineRule="auto"/>
    </w:pPr>
  </w:style>
  <w:style w:type="character" w:customStyle="1" w:styleId="En-tteCar">
    <w:name w:val="En-tête Car"/>
    <w:basedOn w:val="Policepardfaut"/>
    <w:link w:val="En-tte"/>
    <w:uiPriority w:val="99"/>
    <w:rsid w:val="00636350"/>
    <w:rPr>
      <w:rFonts w:ascii="Calibri" w:hAnsi="Calibri"/>
      <w:sz w:val="22"/>
      <w:szCs w:val="22"/>
    </w:rPr>
  </w:style>
  <w:style w:type="paragraph" w:styleId="Pieddepage">
    <w:name w:val="footer"/>
    <w:basedOn w:val="Normal"/>
    <w:link w:val="PieddepageCar"/>
    <w:unhideWhenUsed/>
    <w:rsid w:val="006363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6350"/>
    <w:rPr>
      <w:rFonts w:ascii="Calibri" w:hAnsi="Calibri"/>
      <w:sz w:val="22"/>
      <w:szCs w:val="22"/>
    </w:rPr>
  </w:style>
  <w:style w:type="character" w:customStyle="1" w:styleId="Titre5Car">
    <w:name w:val="Titre 5 Car"/>
    <w:basedOn w:val="Policepardfaut"/>
    <w:link w:val="Titre5"/>
    <w:rsid w:val="00632FD9"/>
    <w:rPr>
      <w:rFonts w:ascii="Trebuchet MS" w:hAnsi="Trebuchet MS" w:cstheme="majorBidi"/>
      <w:b/>
      <w:sz w:val="22"/>
      <w:szCs w:val="22"/>
    </w:rPr>
  </w:style>
  <w:style w:type="paragraph" w:styleId="TM5">
    <w:name w:val="toc 5"/>
    <w:basedOn w:val="Normal"/>
    <w:next w:val="Normal"/>
    <w:autoRedefine/>
    <w:uiPriority w:val="39"/>
    <w:unhideWhenUsed/>
    <w:rsid w:val="00B57553"/>
    <w:pPr>
      <w:tabs>
        <w:tab w:val="left" w:pos="1781"/>
        <w:tab w:val="right" w:leader="dot" w:pos="9062"/>
      </w:tabs>
      <w:spacing w:after="100"/>
      <w:ind w:left="880"/>
    </w:pPr>
    <w:rPr>
      <w:noProof/>
    </w:rPr>
  </w:style>
  <w:style w:type="character" w:customStyle="1" w:styleId="Titre6Car">
    <w:name w:val="Titre 6 Car"/>
    <w:basedOn w:val="Policepardfaut"/>
    <w:link w:val="Titre6"/>
    <w:rsid w:val="00F1383A"/>
    <w:rPr>
      <w:rFonts w:ascii="Trebuchet MS" w:eastAsiaTheme="majorEastAsia" w:hAnsi="Trebuchet MS" w:cstheme="majorBidi"/>
      <w:b/>
      <w:iCs/>
      <w:sz w:val="22"/>
      <w:szCs w:val="22"/>
    </w:rPr>
  </w:style>
  <w:style w:type="table" w:styleId="Grilledutableau">
    <w:name w:val="Table Grid"/>
    <w:basedOn w:val="TableauNormal"/>
    <w:rsid w:val="00745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Nergiemnage">
    <w:name w:val="ENergie ménage"/>
    <w:basedOn w:val="TableauNormal"/>
    <w:uiPriority w:val="99"/>
    <w:rsid w:val="007455DA"/>
    <w:tblPr/>
  </w:style>
  <w:style w:type="table" w:customStyle="1" w:styleId="Ombrageclair1">
    <w:name w:val="Ombrage clair1"/>
    <w:basedOn w:val="TableauNormal"/>
    <w:uiPriority w:val="60"/>
    <w:rsid w:val="007455D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4">
    <w:name w:val="Light Shading Accent 4"/>
    <w:basedOn w:val="TableauNormal"/>
    <w:uiPriority w:val="60"/>
    <w:rsid w:val="007455D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M6">
    <w:name w:val="toc 6"/>
    <w:basedOn w:val="Normal"/>
    <w:next w:val="Normal"/>
    <w:autoRedefine/>
    <w:uiPriority w:val="39"/>
    <w:unhideWhenUsed/>
    <w:rsid w:val="00F15224"/>
    <w:pPr>
      <w:spacing w:after="100"/>
      <w:ind w:left="1100"/>
    </w:pPr>
  </w:style>
  <w:style w:type="paragraph" w:styleId="Corpsdetexte2">
    <w:name w:val="Body Text 2"/>
    <w:basedOn w:val="Normal"/>
    <w:link w:val="Corpsdetexte2Car"/>
    <w:unhideWhenUsed/>
    <w:rsid w:val="005161B2"/>
    <w:pPr>
      <w:spacing w:after="120" w:line="480" w:lineRule="auto"/>
    </w:pPr>
  </w:style>
  <w:style w:type="character" w:customStyle="1" w:styleId="Corpsdetexte2Car">
    <w:name w:val="Corps de texte 2 Car"/>
    <w:basedOn w:val="Policepardfaut"/>
    <w:link w:val="Corpsdetexte2"/>
    <w:rsid w:val="005161B2"/>
    <w:rPr>
      <w:rFonts w:ascii="Calibri" w:hAnsi="Calibri"/>
      <w:sz w:val="22"/>
      <w:szCs w:val="22"/>
    </w:rPr>
  </w:style>
  <w:style w:type="paragraph" w:styleId="Notedebasdepage">
    <w:name w:val="footnote text"/>
    <w:basedOn w:val="Normal"/>
    <w:link w:val="NotedebasdepageCar"/>
    <w:rsid w:val="005161B2"/>
    <w:pPr>
      <w:spacing w:after="0" w:line="240" w:lineRule="auto"/>
    </w:pPr>
    <w:rPr>
      <w:rFonts w:ascii="Times New Roman" w:eastAsia="Times New Roman" w:hAnsi="Times New Roman"/>
      <w:sz w:val="20"/>
      <w:szCs w:val="20"/>
    </w:rPr>
  </w:style>
  <w:style w:type="character" w:customStyle="1" w:styleId="NotedebasdepageCar">
    <w:name w:val="Note de bas de page Car"/>
    <w:basedOn w:val="Policepardfaut"/>
    <w:link w:val="Notedebasdepage"/>
    <w:uiPriority w:val="99"/>
    <w:rsid w:val="005161B2"/>
    <w:rPr>
      <w:rFonts w:eastAsia="Times New Roman"/>
    </w:rPr>
  </w:style>
  <w:style w:type="character" w:customStyle="1" w:styleId="Titre7Car">
    <w:name w:val="Titre 7 Car"/>
    <w:basedOn w:val="Policepardfaut"/>
    <w:link w:val="Titre7"/>
    <w:uiPriority w:val="9"/>
    <w:semiHidden/>
    <w:rsid w:val="009D2DBD"/>
    <w:rPr>
      <w:rFonts w:asciiTheme="majorHAnsi" w:eastAsiaTheme="majorEastAsia" w:hAnsiTheme="majorHAnsi" w:cstheme="majorBidi"/>
      <w:i/>
      <w:iCs/>
      <w:color w:val="404040" w:themeColor="text1" w:themeTint="BF"/>
      <w:sz w:val="24"/>
      <w:szCs w:val="24"/>
      <w:lang w:val="en-US"/>
    </w:rPr>
  </w:style>
  <w:style w:type="character" w:customStyle="1" w:styleId="Titre8Car">
    <w:name w:val="Titre 8 Car"/>
    <w:basedOn w:val="Policepardfaut"/>
    <w:link w:val="Titre8"/>
    <w:uiPriority w:val="9"/>
    <w:rsid w:val="009D2DBD"/>
    <w:rPr>
      <w:rFonts w:asciiTheme="majorHAnsi" w:eastAsiaTheme="majorEastAsia" w:hAnsiTheme="majorHAnsi" w:cstheme="majorBidi"/>
      <w:color w:val="404040" w:themeColor="text1" w:themeTint="BF"/>
      <w:lang w:val="en-US"/>
    </w:rPr>
  </w:style>
  <w:style w:type="paragraph" w:customStyle="1" w:styleId="Chapterhead1">
    <w:name w:val="Chapter head 1"/>
    <w:basedOn w:val="Normal"/>
    <w:semiHidden/>
    <w:rsid w:val="009D2D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0" w:after="0" w:line="240" w:lineRule="auto"/>
      <w:jc w:val="both"/>
    </w:pPr>
    <w:rPr>
      <w:rFonts w:ascii="Arial" w:eastAsia="Times New Roman" w:hAnsi="Arial" w:cs="Arial"/>
      <w:b/>
      <w:bCs/>
      <w:sz w:val="44"/>
      <w:szCs w:val="44"/>
      <w:lang w:val="en-GB"/>
    </w:rPr>
  </w:style>
  <w:style w:type="character" w:styleId="Appelnotedebasdep">
    <w:name w:val="footnote reference"/>
    <w:basedOn w:val="Policepardfaut"/>
    <w:uiPriority w:val="99"/>
    <w:semiHidden/>
    <w:unhideWhenUsed/>
    <w:rsid w:val="00432228"/>
    <w:rPr>
      <w:vertAlign w:val="superscript"/>
    </w:rPr>
  </w:style>
  <w:style w:type="table" w:customStyle="1" w:styleId="Style1">
    <w:name w:val="Style1"/>
    <w:basedOn w:val="TableauNormal"/>
    <w:uiPriority w:val="99"/>
    <w:rsid w:val="00264142"/>
    <w:rPr>
      <w:rFonts w:ascii="Trebuchet MS" w:hAnsi="Trebuchet MS"/>
    </w:rPr>
    <w:tblPr/>
  </w:style>
  <w:style w:type="paragraph" w:styleId="TM7">
    <w:name w:val="toc 7"/>
    <w:basedOn w:val="Normal"/>
    <w:next w:val="Normal"/>
    <w:autoRedefine/>
    <w:uiPriority w:val="39"/>
    <w:unhideWhenUsed/>
    <w:rsid w:val="00E816A3"/>
    <w:pPr>
      <w:spacing w:after="100"/>
      <w:ind w:left="1320"/>
    </w:pPr>
  </w:style>
  <w:style w:type="paragraph" w:styleId="Bibliographie">
    <w:name w:val="Bibliography"/>
    <w:basedOn w:val="Normal"/>
    <w:next w:val="Normal"/>
    <w:uiPriority w:val="37"/>
    <w:semiHidden/>
    <w:unhideWhenUsed/>
    <w:rsid w:val="00AB473E"/>
  </w:style>
  <w:style w:type="character" w:customStyle="1" w:styleId="hps">
    <w:name w:val="hps"/>
    <w:basedOn w:val="Policepardfaut"/>
    <w:uiPriority w:val="99"/>
    <w:rsid w:val="00EA4AE7"/>
  </w:style>
  <w:style w:type="numbering" w:customStyle="1" w:styleId="Aucuneliste1">
    <w:name w:val="Aucune liste1"/>
    <w:next w:val="Aucuneliste"/>
    <w:uiPriority w:val="99"/>
    <w:semiHidden/>
    <w:unhideWhenUsed/>
    <w:rsid w:val="00DF53F8"/>
  </w:style>
  <w:style w:type="character" w:styleId="Numrodepage">
    <w:name w:val="page number"/>
    <w:basedOn w:val="Policepardfaut"/>
    <w:rsid w:val="00DF53F8"/>
  </w:style>
  <w:style w:type="character" w:styleId="Marquedecommentaire">
    <w:name w:val="annotation reference"/>
    <w:semiHidden/>
    <w:rsid w:val="00DF53F8"/>
    <w:rPr>
      <w:sz w:val="16"/>
      <w:szCs w:val="16"/>
    </w:rPr>
  </w:style>
  <w:style w:type="paragraph" w:styleId="Commentaire">
    <w:name w:val="annotation text"/>
    <w:basedOn w:val="Normal"/>
    <w:link w:val="CommentaireCar"/>
    <w:semiHidden/>
    <w:rsid w:val="00DF53F8"/>
    <w:pPr>
      <w:spacing w:after="0" w:line="240" w:lineRule="auto"/>
    </w:pPr>
    <w:rPr>
      <w:rFonts w:ascii="Times New Roman" w:eastAsia="Times New Roman" w:hAnsi="Times New Roman"/>
      <w:sz w:val="20"/>
      <w:szCs w:val="20"/>
      <w:lang w:eastAsia="fr-FR"/>
    </w:rPr>
  </w:style>
  <w:style w:type="character" w:customStyle="1" w:styleId="CommentaireCar">
    <w:name w:val="Commentaire Car"/>
    <w:basedOn w:val="Policepardfaut"/>
    <w:link w:val="Commentaire"/>
    <w:semiHidden/>
    <w:rsid w:val="00DF53F8"/>
    <w:rPr>
      <w:rFonts w:eastAsia="Times New Roman"/>
      <w:lang w:eastAsia="fr-FR"/>
    </w:rPr>
  </w:style>
  <w:style w:type="paragraph" w:styleId="Objetducommentaire">
    <w:name w:val="annotation subject"/>
    <w:basedOn w:val="Commentaire"/>
    <w:next w:val="Commentaire"/>
    <w:link w:val="ObjetducommentaireCar"/>
    <w:semiHidden/>
    <w:rsid w:val="00DF53F8"/>
    <w:rPr>
      <w:b/>
      <w:bCs/>
    </w:rPr>
  </w:style>
  <w:style w:type="character" w:customStyle="1" w:styleId="ObjetducommentaireCar">
    <w:name w:val="Objet du commentaire Car"/>
    <w:basedOn w:val="CommentaireCar"/>
    <w:link w:val="Objetducommentaire"/>
    <w:semiHidden/>
    <w:rsid w:val="00DF53F8"/>
    <w:rPr>
      <w:rFonts w:eastAsia="Times New Roman"/>
      <w:b/>
      <w:bCs/>
      <w:lang w:eastAsia="fr-FR"/>
    </w:rPr>
  </w:style>
  <w:style w:type="table" w:customStyle="1" w:styleId="Grilledutableau1">
    <w:name w:val="Grille du tableau1"/>
    <w:basedOn w:val="TableauNormal"/>
    <w:next w:val="Grilledutableau"/>
    <w:rsid w:val="00DF53F8"/>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2Docprojet">
    <w:name w:val="Titre 2 Doc_projet"/>
    <w:basedOn w:val="Titre1"/>
    <w:autoRedefine/>
    <w:rsid w:val="00DF53F8"/>
    <w:pPr>
      <w:spacing w:before="240" w:after="60" w:line="240" w:lineRule="auto"/>
      <w:ind w:left="0" w:firstLine="0"/>
      <w:jc w:val="center"/>
    </w:pPr>
    <w:rPr>
      <w:rFonts w:ascii="Arial Narrow" w:hAnsi="Arial Narrow"/>
      <w:bCs/>
      <w:kern w:val="32"/>
      <w:sz w:val="56"/>
      <w:szCs w:val="56"/>
      <w:shd w:val="clear" w:color="auto" w:fill="D9D9D9"/>
    </w:rPr>
  </w:style>
  <w:style w:type="paragraph" w:customStyle="1" w:styleId="ResponsecategsChar">
    <w:name w:val="Response categs..... Char"/>
    <w:basedOn w:val="Normal"/>
    <w:link w:val="ResponsecategsCharChar"/>
    <w:rsid w:val="00DF53F8"/>
    <w:pPr>
      <w:tabs>
        <w:tab w:val="right" w:leader="dot" w:pos="3942"/>
      </w:tabs>
      <w:spacing w:after="0" w:line="360" w:lineRule="auto"/>
      <w:ind w:left="216" w:hanging="216"/>
    </w:pPr>
    <w:rPr>
      <w:rFonts w:ascii="Arial" w:eastAsia="Times New Roman" w:hAnsi="Arial"/>
      <w:sz w:val="20"/>
      <w:szCs w:val="20"/>
      <w:lang w:val="en-US"/>
    </w:rPr>
  </w:style>
  <w:style w:type="character" w:customStyle="1" w:styleId="ResponsecategsCharChar">
    <w:name w:val="Response categs..... Char Char"/>
    <w:link w:val="ResponsecategsChar"/>
    <w:rsid w:val="00DF53F8"/>
    <w:rPr>
      <w:rFonts w:ascii="Arial" w:eastAsia="Times New Roman" w:hAnsi="Arial"/>
      <w:lang w:val="en-US"/>
    </w:rPr>
  </w:style>
  <w:style w:type="character" w:customStyle="1" w:styleId="Instructionsinparens">
    <w:name w:val="Instructions in parens"/>
    <w:rsid w:val="00DF53F8"/>
    <w:rPr>
      <w:rFonts w:ascii="Times New Roman" w:hAnsi="Times New Roman"/>
      <w:i/>
      <w:sz w:val="20"/>
      <w:szCs w:val="20"/>
    </w:rPr>
  </w:style>
  <w:style w:type="paragraph" w:customStyle="1" w:styleId="modulename">
    <w:name w:val="module name"/>
    <w:basedOn w:val="Normal"/>
    <w:link w:val="modulenameChar"/>
    <w:rsid w:val="00DF53F8"/>
    <w:pPr>
      <w:spacing w:after="0" w:line="360" w:lineRule="auto"/>
      <w:ind w:left="216" w:hanging="216"/>
    </w:pPr>
    <w:rPr>
      <w:rFonts w:ascii="Times New Roman" w:eastAsia="Times New Roman" w:hAnsi="Times New Roman"/>
      <w:b/>
      <w:caps/>
      <w:sz w:val="24"/>
      <w:szCs w:val="20"/>
      <w:lang w:val="en-US"/>
    </w:rPr>
  </w:style>
  <w:style w:type="character" w:customStyle="1" w:styleId="modulenameChar">
    <w:name w:val="module name Char"/>
    <w:link w:val="modulename"/>
    <w:rsid w:val="00DF53F8"/>
    <w:rPr>
      <w:rFonts w:eastAsia="Times New Roman"/>
      <w:b/>
      <w:caps/>
      <w:sz w:val="24"/>
      <w:lang w:val="en-US"/>
    </w:rPr>
  </w:style>
  <w:style w:type="character" w:customStyle="1" w:styleId="InstructionstointvwChar4">
    <w:name w:val="Instructions to intvw Char4"/>
    <w:link w:val="Instructionstointvw"/>
    <w:rsid w:val="00DF53F8"/>
    <w:rPr>
      <w:i/>
      <w:lang w:val="en-US"/>
    </w:rPr>
  </w:style>
  <w:style w:type="paragraph" w:customStyle="1" w:styleId="Instructionstointvw">
    <w:name w:val="Instructions to intvw"/>
    <w:basedOn w:val="Normal"/>
    <w:link w:val="InstructionstointvwChar4"/>
    <w:rsid w:val="00DF53F8"/>
    <w:pPr>
      <w:spacing w:after="0" w:line="360" w:lineRule="auto"/>
      <w:ind w:left="216" w:hanging="216"/>
    </w:pPr>
    <w:rPr>
      <w:rFonts w:ascii="Times New Roman" w:hAnsi="Times New Roman"/>
      <w:i/>
      <w:sz w:val="20"/>
      <w:szCs w:val="20"/>
      <w:lang w:val="en-US"/>
    </w:rPr>
  </w:style>
  <w:style w:type="paragraph" w:customStyle="1" w:styleId="Responsecategs">
    <w:name w:val="Response categs....."/>
    <w:basedOn w:val="Normal"/>
    <w:rsid w:val="00DF53F8"/>
    <w:pPr>
      <w:tabs>
        <w:tab w:val="right" w:leader="dot" w:pos="3942"/>
      </w:tabs>
      <w:spacing w:after="0" w:line="360" w:lineRule="auto"/>
      <w:ind w:left="216" w:hanging="216"/>
    </w:pPr>
    <w:rPr>
      <w:rFonts w:ascii="Arial" w:eastAsia="Times New Roman" w:hAnsi="Arial"/>
      <w:sz w:val="20"/>
      <w:szCs w:val="20"/>
      <w:lang w:val="en-GB"/>
    </w:rPr>
  </w:style>
  <w:style w:type="paragraph" w:customStyle="1" w:styleId="1Intvwqst">
    <w:name w:val="1. Intvw qst"/>
    <w:basedOn w:val="Normal"/>
    <w:link w:val="1Intvwqst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1">
    <w:name w:val="1. Intvw qst Char1"/>
    <w:link w:val="1Intvwqst"/>
    <w:rsid w:val="00DF53F8"/>
    <w:rPr>
      <w:rFonts w:ascii="Arial" w:eastAsia="Times New Roman" w:hAnsi="Arial"/>
      <w:smallCaps/>
      <w:lang w:val="en-US"/>
    </w:rPr>
  </w:style>
  <w:style w:type="paragraph" w:customStyle="1" w:styleId="1IntvwqstCharCharChar">
    <w:name w:val="1. Intvw qst Char Char Char"/>
    <w:basedOn w:val="Normal"/>
    <w:link w:val="1IntvwqstCharCharChar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CharCharChar1">
    <w:name w:val="1. Intvw qst Char Char Char Char1"/>
    <w:link w:val="1IntvwqstCharCharChar"/>
    <w:rsid w:val="00DF53F8"/>
    <w:rPr>
      <w:rFonts w:ascii="Arial" w:eastAsia="Times New Roman" w:hAnsi="Arial"/>
      <w:smallCaps/>
      <w:lang w:val="en-US"/>
    </w:rPr>
  </w:style>
  <w:style w:type="paragraph" w:customStyle="1" w:styleId="InstructionstointvwCharCharChar">
    <w:name w:val="Instructions to intvw Char Char Char"/>
    <w:basedOn w:val="modulename"/>
    <w:link w:val="InstructionstointvwCharCharCharChar"/>
    <w:rsid w:val="00DF53F8"/>
    <w:rPr>
      <w:i/>
    </w:rPr>
  </w:style>
  <w:style w:type="character" w:customStyle="1" w:styleId="InstructionstointvwCharCharCharChar">
    <w:name w:val="Instructions to intvw Char Char Char Char"/>
    <w:link w:val="InstructionstointvwCharCharChar"/>
    <w:rsid w:val="00DF53F8"/>
    <w:rPr>
      <w:rFonts w:eastAsia="Times New Roman"/>
      <w:b/>
      <w:i/>
      <w:caps/>
      <w:sz w:val="24"/>
      <w:lang w:val="en-US"/>
    </w:rPr>
  </w:style>
  <w:style w:type="character" w:customStyle="1" w:styleId="InstructionstointvwCharChar1">
    <w:name w:val="Instructions to intvw Char Char1"/>
    <w:link w:val="InstructionstointvwChar3"/>
    <w:rsid w:val="00DF53F8"/>
    <w:rPr>
      <w:i/>
      <w:lang w:val="en-US"/>
    </w:rPr>
  </w:style>
  <w:style w:type="paragraph" w:customStyle="1" w:styleId="InstructionstointvwChar3">
    <w:name w:val="Instructions to intvw Char3"/>
    <w:basedOn w:val="Normal"/>
    <w:link w:val="InstructionstointvwCharChar1"/>
    <w:rsid w:val="00DF53F8"/>
    <w:pPr>
      <w:spacing w:after="0" w:line="360" w:lineRule="auto"/>
      <w:ind w:left="216" w:hanging="216"/>
    </w:pPr>
    <w:rPr>
      <w:rFonts w:ascii="Times New Roman" w:hAnsi="Times New Roman"/>
      <w:i/>
      <w:sz w:val="20"/>
      <w:szCs w:val="20"/>
      <w:lang w:val="en-US"/>
    </w:rPr>
  </w:style>
  <w:style w:type="paragraph" w:customStyle="1" w:styleId="1IntvwqstChar1Char">
    <w:name w:val="1. Intvw qst Char1 Char"/>
    <w:basedOn w:val="Normal"/>
    <w:link w:val="1IntvwqstChar1CharChar"/>
    <w:rsid w:val="00DF53F8"/>
    <w:pPr>
      <w:spacing w:after="0" w:line="360" w:lineRule="auto"/>
      <w:ind w:left="360" w:hanging="360"/>
    </w:pPr>
    <w:rPr>
      <w:rFonts w:ascii="Arial" w:eastAsia="Times New Roman" w:hAnsi="Arial"/>
      <w:smallCaps/>
      <w:sz w:val="20"/>
      <w:szCs w:val="20"/>
      <w:lang w:val="en-US"/>
    </w:rPr>
  </w:style>
  <w:style w:type="character" w:customStyle="1" w:styleId="1IntvwqstChar1CharChar">
    <w:name w:val="1. Intvw qst Char1 Char Char"/>
    <w:link w:val="1IntvwqstChar1Char"/>
    <w:rsid w:val="00DF53F8"/>
    <w:rPr>
      <w:rFonts w:ascii="Arial" w:eastAsia="Times New Roman" w:hAnsi="Arial"/>
      <w:smallCaps/>
      <w:lang w:val="en-US"/>
    </w:rPr>
  </w:style>
  <w:style w:type="paragraph" w:styleId="NormalWeb">
    <w:name w:val="Normal (Web)"/>
    <w:basedOn w:val="Normal"/>
    <w:uiPriority w:val="99"/>
    <w:semiHidden/>
    <w:unhideWhenUsed/>
    <w:rsid w:val="00DF53F8"/>
    <w:pPr>
      <w:spacing w:before="100" w:beforeAutospacing="1" w:after="100" w:afterAutospacing="1" w:line="240" w:lineRule="auto"/>
    </w:pPr>
    <w:rPr>
      <w:rFonts w:ascii="Times New Roman" w:eastAsiaTheme="minorEastAsia" w:hAnsi="Times New Roman"/>
      <w:sz w:val="24"/>
      <w:szCs w:val="24"/>
      <w:lang w:eastAsia="fr-FR"/>
    </w:rPr>
  </w:style>
  <w:style w:type="paragraph" w:customStyle="1" w:styleId="Default">
    <w:name w:val="Default"/>
    <w:rsid w:val="00DF53F8"/>
    <w:pPr>
      <w:autoSpaceDE w:val="0"/>
      <w:autoSpaceDN w:val="0"/>
      <w:adjustRightInd w:val="0"/>
    </w:pPr>
    <w:rPr>
      <w:rFonts w:ascii="Arial" w:eastAsia="Times New Roman" w:hAnsi="Arial" w:cs="Arial"/>
      <w:color w:val="000000"/>
      <w:sz w:val="24"/>
      <w:szCs w:val="24"/>
      <w:lang w:eastAsia="fr-FR"/>
    </w:rPr>
  </w:style>
  <w:style w:type="paragraph" w:styleId="Rvision">
    <w:name w:val="Revision"/>
    <w:hidden/>
    <w:uiPriority w:val="99"/>
    <w:semiHidden/>
    <w:rsid w:val="00DF53F8"/>
    <w:rPr>
      <w:rFonts w:eastAsia="Times New Roman"/>
      <w:sz w:val="24"/>
      <w:szCs w:val="24"/>
      <w:lang w:eastAsia="fr-FR"/>
    </w:rPr>
  </w:style>
  <w:style w:type="paragraph" w:styleId="Explorateurdedocuments">
    <w:name w:val="Document Map"/>
    <w:basedOn w:val="Normal"/>
    <w:link w:val="ExplorateurdedocumentsCar"/>
    <w:semiHidden/>
    <w:unhideWhenUsed/>
    <w:rsid w:val="00DF53F8"/>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semiHidden/>
    <w:rsid w:val="00DF53F8"/>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25">
      <w:bodyDiv w:val="1"/>
      <w:marLeft w:val="0"/>
      <w:marRight w:val="0"/>
      <w:marTop w:val="0"/>
      <w:marBottom w:val="0"/>
      <w:divBdr>
        <w:top w:val="none" w:sz="0" w:space="0" w:color="auto"/>
        <w:left w:val="none" w:sz="0" w:space="0" w:color="auto"/>
        <w:bottom w:val="none" w:sz="0" w:space="0" w:color="auto"/>
        <w:right w:val="none" w:sz="0" w:space="0" w:color="auto"/>
      </w:divBdr>
    </w:div>
    <w:div w:id="91052314">
      <w:bodyDiv w:val="1"/>
      <w:marLeft w:val="0"/>
      <w:marRight w:val="0"/>
      <w:marTop w:val="0"/>
      <w:marBottom w:val="0"/>
      <w:divBdr>
        <w:top w:val="none" w:sz="0" w:space="0" w:color="auto"/>
        <w:left w:val="none" w:sz="0" w:space="0" w:color="auto"/>
        <w:bottom w:val="none" w:sz="0" w:space="0" w:color="auto"/>
        <w:right w:val="none" w:sz="0" w:space="0" w:color="auto"/>
      </w:divBdr>
    </w:div>
    <w:div w:id="360130295">
      <w:bodyDiv w:val="1"/>
      <w:marLeft w:val="0"/>
      <w:marRight w:val="0"/>
      <w:marTop w:val="0"/>
      <w:marBottom w:val="0"/>
      <w:divBdr>
        <w:top w:val="none" w:sz="0" w:space="0" w:color="auto"/>
        <w:left w:val="none" w:sz="0" w:space="0" w:color="auto"/>
        <w:bottom w:val="none" w:sz="0" w:space="0" w:color="auto"/>
        <w:right w:val="none" w:sz="0" w:space="0" w:color="auto"/>
      </w:divBdr>
    </w:div>
    <w:div w:id="408771450">
      <w:bodyDiv w:val="1"/>
      <w:marLeft w:val="0"/>
      <w:marRight w:val="0"/>
      <w:marTop w:val="0"/>
      <w:marBottom w:val="0"/>
      <w:divBdr>
        <w:top w:val="none" w:sz="0" w:space="0" w:color="auto"/>
        <w:left w:val="none" w:sz="0" w:space="0" w:color="auto"/>
        <w:bottom w:val="none" w:sz="0" w:space="0" w:color="auto"/>
        <w:right w:val="none" w:sz="0" w:space="0" w:color="auto"/>
      </w:divBdr>
    </w:div>
    <w:div w:id="416096728">
      <w:bodyDiv w:val="1"/>
      <w:marLeft w:val="0"/>
      <w:marRight w:val="0"/>
      <w:marTop w:val="0"/>
      <w:marBottom w:val="0"/>
      <w:divBdr>
        <w:top w:val="none" w:sz="0" w:space="0" w:color="auto"/>
        <w:left w:val="none" w:sz="0" w:space="0" w:color="auto"/>
        <w:bottom w:val="none" w:sz="0" w:space="0" w:color="auto"/>
        <w:right w:val="none" w:sz="0" w:space="0" w:color="auto"/>
      </w:divBdr>
    </w:div>
    <w:div w:id="537746659">
      <w:bodyDiv w:val="1"/>
      <w:marLeft w:val="0"/>
      <w:marRight w:val="0"/>
      <w:marTop w:val="0"/>
      <w:marBottom w:val="0"/>
      <w:divBdr>
        <w:top w:val="none" w:sz="0" w:space="0" w:color="auto"/>
        <w:left w:val="none" w:sz="0" w:space="0" w:color="auto"/>
        <w:bottom w:val="none" w:sz="0" w:space="0" w:color="auto"/>
        <w:right w:val="none" w:sz="0" w:space="0" w:color="auto"/>
      </w:divBdr>
    </w:div>
    <w:div w:id="578638069">
      <w:bodyDiv w:val="1"/>
      <w:marLeft w:val="0"/>
      <w:marRight w:val="0"/>
      <w:marTop w:val="0"/>
      <w:marBottom w:val="0"/>
      <w:divBdr>
        <w:top w:val="none" w:sz="0" w:space="0" w:color="auto"/>
        <w:left w:val="none" w:sz="0" w:space="0" w:color="auto"/>
        <w:bottom w:val="none" w:sz="0" w:space="0" w:color="auto"/>
        <w:right w:val="none" w:sz="0" w:space="0" w:color="auto"/>
      </w:divBdr>
    </w:div>
    <w:div w:id="602880578">
      <w:bodyDiv w:val="1"/>
      <w:marLeft w:val="0"/>
      <w:marRight w:val="0"/>
      <w:marTop w:val="0"/>
      <w:marBottom w:val="0"/>
      <w:divBdr>
        <w:top w:val="none" w:sz="0" w:space="0" w:color="auto"/>
        <w:left w:val="none" w:sz="0" w:space="0" w:color="auto"/>
        <w:bottom w:val="none" w:sz="0" w:space="0" w:color="auto"/>
        <w:right w:val="none" w:sz="0" w:space="0" w:color="auto"/>
      </w:divBdr>
    </w:div>
    <w:div w:id="636765630">
      <w:bodyDiv w:val="1"/>
      <w:marLeft w:val="0"/>
      <w:marRight w:val="0"/>
      <w:marTop w:val="0"/>
      <w:marBottom w:val="0"/>
      <w:divBdr>
        <w:top w:val="none" w:sz="0" w:space="0" w:color="auto"/>
        <w:left w:val="none" w:sz="0" w:space="0" w:color="auto"/>
        <w:bottom w:val="none" w:sz="0" w:space="0" w:color="auto"/>
        <w:right w:val="none" w:sz="0" w:space="0" w:color="auto"/>
      </w:divBdr>
    </w:div>
    <w:div w:id="652224415">
      <w:bodyDiv w:val="1"/>
      <w:marLeft w:val="0"/>
      <w:marRight w:val="0"/>
      <w:marTop w:val="0"/>
      <w:marBottom w:val="0"/>
      <w:divBdr>
        <w:top w:val="none" w:sz="0" w:space="0" w:color="auto"/>
        <w:left w:val="none" w:sz="0" w:space="0" w:color="auto"/>
        <w:bottom w:val="none" w:sz="0" w:space="0" w:color="auto"/>
        <w:right w:val="none" w:sz="0" w:space="0" w:color="auto"/>
      </w:divBdr>
    </w:div>
    <w:div w:id="722946068">
      <w:bodyDiv w:val="1"/>
      <w:marLeft w:val="0"/>
      <w:marRight w:val="0"/>
      <w:marTop w:val="0"/>
      <w:marBottom w:val="0"/>
      <w:divBdr>
        <w:top w:val="none" w:sz="0" w:space="0" w:color="auto"/>
        <w:left w:val="none" w:sz="0" w:space="0" w:color="auto"/>
        <w:bottom w:val="none" w:sz="0" w:space="0" w:color="auto"/>
        <w:right w:val="none" w:sz="0" w:space="0" w:color="auto"/>
      </w:divBdr>
    </w:div>
    <w:div w:id="769275501">
      <w:bodyDiv w:val="1"/>
      <w:marLeft w:val="0"/>
      <w:marRight w:val="0"/>
      <w:marTop w:val="0"/>
      <w:marBottom w:val="0"/>
      <w:divBdr>
        <w:top w:val="none" w:sz="0" w:space="0" w:color="auto"/>
        <w:left w:val="none" w:sz="0" w:space="0" w:color="auto"/>
        <w:bottom w:val="none" w:sz="0" w:space="0" w:color="auto"/>
        <w:right w:val="none" w:sz="0" w:space="0" w:color="auto"/>
      </w:divBdr>
    </w:div>
    <w:div w:id="862129762">
      <w:bodyDiv w:val="1"/>
      <w:marLeft w:val="0"/>
      <w:marRight w:val="0"/>
      <w:marTop w:val="0"/>
      <w:marBottom w:val="0"/>
      <w:divBdr>
        <w:top w:val="none" w:sz="0" w:space="0" w:color="auto"/>
        <w:left w:val="none" w:sz="0" w:space="0" w:color="auto"/>
        <w:bottom w:val="none" w:sz="0" w:space="0" w:color="auto"/>
        <w:right w:val="none" w:sz="0" w:space="0" w:color="auto"/>
      </w:divBdr>
    </w:div>
    <w:div w:id="937180426">
      <w:bodyDiv w:val="1"/>
      <w:marLeft w:val="0"/>
      <w:marRight w:val="0"/>
      <w:marTop w:val="0"/>
      <w:marBottom w:val="0"/>
      <w:divBdr>
        <w:top w:val="none" w:sz="0" w:space="0" w:color="auto"/>
        <w:left w:val="none" w:sz="0" w:space="0" w:color="auto"/>
        <w:bottom w:val="none" w:sz="0" w:space="0" w:color="auto"/>
        <w:right w:val="none" w:sz="0" w:space="0" w:color="auto"/>
      </w:divBdr>
    </w:div>
    <w:div w:id="940264828">
      <w:bodyDiv w:val="1"/>
      <w:marLeft w:val="0"/>
      <w:marRight w:val="0"/>
      <w:marTop w:val="0"/>
      <w:marBottom w:val="0"/>
      <w:divBdr>
        <w:top w:val="none" w:sz="0" w:space="0" w:color="auto"/>
        <w:left w:val="none" w:sz="0" w:space="0" w:color="auto"/>
        <w:bottom w:val="none" w:sz="0" w:space="0" w:color="auto"/>
        <w:right w:val="none" w:sz="0" w:space="0" w:color="auto"/>
      </w:divBdr>
    </w:div>
    <w:div w:id="952906055">
      <w:bodyDiv w:val="1"/>
      <w:marLeft w:val="0"/>
      <w:marRight w:val="0"/>
      <w:marTop w:val="0"/>
      <w:marBottom w:val="0"/>
      <w:divBdr>
        <w:top w:val="none" w:sz="0" w:space="0" w:color="auto"/>
        <w:left w:val="none" w:sz="0" w:space="0" w:color="auto"/>
        <w:bottom w:val="none" w:sz="0" w:space="0" w:color="auto"/>
        <w:right w:val="none" w:sz="0" w:space="0" w:color="auto"/>
      </w:divBdr>
    </w:div>
    <w:div w:id="1052775573">
      <w:bodyDiv w:val="1"/>
      <w:marLeft w:val="0"/>
      <w:marRight w:val="0"/>
      <w:marTop w:val="0"/>
      <w:marBottom w:val="0"/>
      <w:divBdr>
        <w:top w:val="none" w:sz="0" w:space="0" w:color="auto"/>
        <w:left w:val="none" w:sz="0" w:space="0" w:color="auto"/>
        <w:bottom w:val="none" w:sz="0" w:space="0" w:color="auto"/>
        <w:right w:val="none" w:sz="0" w:space="0" w:color="auto"/>
      </w:divBdr>
    </w:div>
    <w:div w:id="1062479784">
      <w:bodyDiv w:val="1"/>
      <w:marLeft w:val="0"/>
      <w:marRight w:val="0"/>
      <w:marTop w:val="0"/>
      <w:marBottom w:val="0"/>
      <w:divBdr>
        <w:top w:val="none" w:sz="0" w:space="0" w:color="auto"/>
        <w:left w:val="none" w:sz="0" w:space="0" w:color="auto"/>
        <w:bottom w:val="none" w:sz="0" w:space="0" w:color="auto"/>
        <w:right w:val="none" w:sz="0" w:space="0" w:color="auto"/>
      </w:divBdr>
    </w:div>
    <w:div w:id="1144351673">
      <w:bodyDiv w:val="1"/>
      <w:marLeft w:val="0"/>
      <w:marRight w:val="0"/>
      <w:marTop w:val="0"/>
      <w:marBottom w:val="0"/>
      <w:divBdr>
        <w:top w:val="none" w:sz="0" w:space="0" w:color="auto"/>
        <w:left w:val="none" w:sz="0" w:space="0" w:color="auto"/>
        <w:bottom w:val="none" w:sz="0" w:space="0" w:color="auto"/>
        <w:right w:val="none" w:sz="0" w:space="0" w:color="auto"/>
      </w:divBdr>
    </w:div>
    <w:div w:id="1196431251">
      <w:bodyDiv w:val="1"/>
      <w:marLeft w:val="0"/>
      <w:marRight w:val="0"/>
      <w:marTop w:val="0"/>
      <w:marBottom w:val="0"/>
      <w:divBdr>
        <w:top w:val="none" w:sz="0" w:space="0" w:color="auto"/>
        <w:left w:val="none" w:sz="0" w:space="0" w:color="auto"/>
        <w:bottom w:val="none" w:sz="0" w:space="0" w:color="auto"/>
        <w:right w:val="none" w:sz="0" w:space="0" w:color="auto"/>
      </w:divBdr>
    </w:div>
    <w:div w:id="1205214608">
      <w:bodyDiv w:val="1"/>
      <w:marLeft w:val="0"/>
      <w:marRight w:val="0"/>
      <w:marTop w:val="0"/>
      <w:marBottom w:val="0"/>
      <w:divBdr>
        <w:top w:val="none" w:sz="0" w:space="0" w:color="auto"/>
        <w:left w:val="none" w:sz="0" w:space="0" w:color="auto"/>
        <w:bottom w:val="none" w:sz="0" w:space="0" w:color="auto"/>
        <w:right w:val="none" w:sz="0" w:space="0" w:color="auto"/>
      </w:divBdr>
    </w:div>
    <w:div w:id="1256594640">
      <w:bodyDiv w:val="1"/>
      <w:marLeft w:val="0"/>
      <w:marRight w:val="0"/>
      <w:marTop w:val="0"/>
      <w:marBottom w:val="0"/>
      <w:divBdr>
        <w:top w:val="none" w:sz="0" w:space="0" w:color="auto"/>
        <w:left w:val="none" w:sz="0" w:space="0" w:color="auto"/>
        <w:bottom w:val="none" w:sz="0" w:space="0" w:color="auto"/>
        <w:right w:val="none" w:sz="0" w:space="0" w:color="auto"/>
      </w:divBdr>
    </w:div>
    <w:div w:id="1259564122">
      <w:bodyDiv w:val="1"/>
      <w:marLeft w:val="0"/>
      <w:marRight w:val="0"/>
      <w:marTop w:val="0"/>
      <w:marBottom w:val="0"/>
      <w:divBdr>
        <w:top w:val="none" w:sz="0" w:space="0" w:color="auto"/>
        <w:left w:val="none" w:sz="0" w:space="0" w:color="auto"/>
        <w:bottom w:val="none" w:sz="0" w:space="0" w:color="auto"/>
        <w:right w:val="none" w:sz="0" w:space="0" w:color="auto"/>
      </w:divBdr>
    </w:div>
    <w:div w:id="1291083998">
      <w:bodyDiv w:val="1"/>
      <w:marLeft w:val="0"/>
      <w:marRight w:val="0"/>
      <w:marTop w:val="0"/>
      <w:marBottom w:val="0"/>
      <w:divBdr>
        <w:top w:val="none" w:sz="0" w:space="0" w:color="auto"/>
        <w:left w:val="none" w:sz="0" w:space="0" w:color="auto"/>
        <w:bottom w:val="none" w:sz="0" w:space="0" w:color="auto"/>
        <w:right w:val="none" w:sz="0" w:space="0" w:color="auto"/>
      </w:divBdr>
    </w:div>
    <w:div w:id="1381594211">
      <w:bodyDiv w:val="1"/>
      <w:marLeft w:val="0"/>
      <w:marRight w:val="0"/>
      <w:marTop w:val="0"/>
      <w:marBottom w:val="0"/>
      <w:divBdr>
        <w:top w:val="none" w:sz="0" w:space="0" w:color="auto"/>
        <w:left w:val="none" w:sz="0" w:space="0" w:color="auto"/>
        <w:bottom w:val="none" w:sz="0" w:space="0" w:color="auto"/>
        <w:right w:val="none" w:sz="0" w:space="0" w:color="auto"/>
      </w:divBdr>
    </w:div>
    <w:div w:id="1384062720">
      <w:bodyDiv w:val="1"/>
      <w:marLeft w:val="0"/>
      <w:marRight w:val="0"/>
      <w:marTop w:val="0"/>
      <w:marBottom w:val="0"/>
      <w:divBdr>
        <w:top w:val="none" w:sz="0" w:space="0" w:color="auto"/>
        <w:left w:val="none" w:sz="0" w:space="0" w:color="auto"/>
        <w:bottom w:val="none" w:sz="0" w:space="0" w:color="auto"/>
        <w:right w:val="none" w:sz="0" w:space="0" w:color="auto"/>
      </w:divBdr>
    </w:div>
    <w:div w:id="1390886376">
      <w:bodyDiv w:val="1"/>
      <w:marLeft w:val="0"/>
      <w:marRight w:val="0"/>
      <w:marTop w:val="0"/>
      <w:marBottom w:val="0"/>
      <w:divBdr>
        <w:top w:val="none" w:sz="0" w:space="0" w:color="auto"/>
        <w:left w:val="none" w:sz="0" w:space="0" w:color="auto"/>
        <w:bottom w:val="none" w:sz="0" w:space="0" w:color="auto"/>
        <w:right w:val="none" w:sz="0" w:space="0" w:color="auto"/>
      </w:divBdr>
    </w:div>
    <w:div w:id="1393962358">
      <w:bodyDiv w:val="1"/>
      <w:marLeft w:val="0"/>
      <w:marRight w:val="0"/>
      <w:marTop w:val="0"/>
      <w:marBottom w:val="0"/>
      <w:divBdr>
        <w:top w:val="none" w:sz="0" w:space="0" w:color="auto"/>
        <w:left w:val="none" w:sz="0" w:space="0" w:color="auto"/>
        <w:bottom w:val="none" w:sz="0" w:space="0" w:color="auto"/>
        <w:right w:val="none" w:sz="0" w:space="0" w:color="auto"/>
      </w:divBdr>
    </w:div>
    <w:div w:id="1401094615">
      <w:bodyDiv w:val="1"/>
      <w:marLeft w:val="0"/>
      <w:marRight w:val="0"/>
      <w:marTop w:val="0"/>
      <w:marBottom w:val="0"/>
      <w:divBdr>
        <w:top w:val="none" w:sz="0" w:space="0" w:color="auto"/>
        <w:left w:val="none" w:sz="0" w:space="0" w:color="auto"/>
        <w:bottom w:val="none" w:sz="0" w:space="0" w:color="auto"/>
        <w:right w:val="none" w:sz="0" w:space="0" w:color="auto"/>
      </w:divBdr>
    </w:div>
    <w:div w:id="1401244460">
      <w:bodyDiv w:val="1"/>
      <w:marLeft w:val="0"/>
      <w:marRight w:val="0"/>
      <w:marTop w:val="0"/>
      <w:marBottom w:val="0"/>
      <w:divBdr>
        <w:top w:val="none" w:sz="0" w:space="0" w:color="auto"/>
        <w:left w:val="none" w:sz="0" w:space="0" w:color="auto"/>
        <w:bottom w:val="none" w:sz="0" w:space="0" w:color="auto"/>
        <w:right w:val="none" w:sz="0" w:space="0" w:color="auto"/>
      </w:divBdr>
    </w:div>
    <w:div w:id="1431197902">
      <w:bodyDiv w:val="1"/>
      <w:marLeft w:val="0"/>
      <w:marRight w:val="0"/>
      <w:marTop w:val="0"/>
      <w:marBottom w:val="0"/>
      <w:divBdr>
        <w:top w:val="none" w:sz="0" w:space="0" w:color="auto"/>
        <w:left w:val="none" w:sz="0" w:space="0" w:color="auto"/>
        <w:bottom w:val="none" w:sz="0" w:space="0" w:color="auto"/>
        <w:right w:val="none" w:sz="0" w:space="0" w:color="auto"/>
      </w:divBdr>
    </w:div>
    <w:div w:id="1444807286">
      <w:bodyDiv w:val="1"/>
      <w:marLeft w:val="0"/>
      <w:marRight w:val="0"/>
      <w:marTop w:val="0"/>
      <w:marBottom w:val="0"/>
      <w:divBdr>
        <w:top w:val="none" w:sz="0" w:space="0" w:color="auto"/>
        <w:left w:val="none" w:sz="0" w:space="0" w:color="auto"/>
        <w:bottom w:val="none" w:sz="0" w:space="0" w:color="auto"/>
        <w:right w:val="none" w:sz="0" w:space="0" w:color="auto"/>
      </w:divBdr>
    </w:div>
    <w:div w:id="1471896937">
      <w:bodyDiv w:val="1"/>
      <w:marLeft w:val="0"/>
      <w:marRight w:val="0"/>
      <w:marTop w:val="0"/>
      <w:marBottom w:val="0"/>
      <w:divBdr>
        <w:top w:val="none" w:sz="0" w:space="0" w:color="auto"/>
        <w:left w:val="none" w:sz="0" w:space="0" w:color="auto"/>
        <w:bottom w:val="none" w:sz="0" w:space="0" w:color="auto"/>
        <w:right w:val="none" w:sz="0" w:space="0" w:color="auto"/>
      </w:divBdr>
    </w:div>
    <w:div w:id="1507019934">
      <w:bodyDiv w:val="1"/>
      <w:marLeft w:val="0"/>
      <w:marRight w:val="0"/>
      <w:marTop w:val="0"/>
      <w:marBottom w:val="0"/>
      <w:divBdr>
        <w:top w:val="none" w:sz="0" w:space="0" w:color="auto"/>
        <w:left w:val="none" w:sz="0" w:space="0" w:color="auto"/>
        <w:bottom w:val="none" w:sz="0" w:space="0" w:color="auto"/>
        <w:right w:val="none" w:sz="0" w:space="0" w:color="auto"/>
      </w:divBdr>
    </w:div>
    <w:div w:id="1513454029">
      <w:bodyDiv w:val="1"/>
      <w:marLeft w:val="0"/>
      <w:marRight w:val="0"/>
      <w:marTop w:val="0"/>
      <w:marBottom w:val="0"/>
      <w:divBdr>
        <w:top w:val="none" w:sz="0" w:space="0" w:color="auto"/>
        <w:left w:val="none" w:sz="0" w:space="0" w:color="auto"/>
        <w:bottom w:val="none" w:sz="0" w:space="0" w:color="auto"/>
        <w:right w:val="none" w:sz="0" w:space="0" w:color="auto"/>
      </w:divBdr>
    </w:div>
    <w:div w:id="1528373520">
      <w:bodyDiv w:val="1"/>
      <w:marLeft w:val="0"/>
      <w:marRight w:val="0"/>
      <w:marTop w:val="0"/>
      <w:marBottom w:val="0"/>
      <w:divBdr>
        <w:top w:val="none" w:sz="0" w:space="0" w:color="auto"/>
        <w:left w:val="none" w:sz="0" w:space="0" w:color="auto"/>
        <w:bottom w:val="none" w:sz="0" w:space="0" w:color="auto"/>
        <w:right w:val="none" w:sz="0" w:space="0" w:color="auto"/>
      </w:divBdr>
    </w:div>
    <w:div w:id="1564565302">
      <w:bodyDiv w:val="1"/>
      <w:marLeft w:val="0"/>
      <w:marRight w:val="0"/>
      <w:marTop w:val="0"/>
      <w:marBottom w:val="0"/>
      <w:divBdr>
        <w:top w:val="none" w:sz="0" w:space="0" w:color="auto"/>
        <w:left w:val="none" w:sz="0" w:space="0" w:color="auto"/>
        <w:bottom w:val="none" w:sz="0" w:space="0" w:color="auto"/>
        <w:right w:val="none" w:sz="0" w:space="0" w:color="auto"/>
      </w:divBdr>
    </w:div>
    <w:div w:id="1587348937">
      <w:bodyDiv w:val="1"/>
      <w:marLeft w:val="0"/>
      <w:marRight w:val="0"/>
      <w:marTop w:val="0"/>
      <w:marBottom w:val="0"/>
      <w:divBdr>
        <w:top w:val="none" w:sz="0" w:space="0" w:color="auto"/>
        <w:left w:val="none" w:sz="0" w:space="0" w:color="auto"/>
        <w:bottom w:val="none" w:sz="0" w:space="0" w:color="auto"/>
        <w:right w:val="none" w:sz="0" w:space="0" w:color="auto"/>
      </w:divBdr>
    </w:div>
    <w:div w:id="1614169934">
      <w:bodyDiv w:val="1"/>
      <w:marLeft w:val="0"/>
      <w:marRight w:val="0"/>
      <w:marTop w:val="0"/>
      <w:marBottom w:val="0"/>
      <w:divBdr>
        <w:top w:val="none" w:sz="0" w:space="0" w:color="auto"/>
        <w:left w:val="none" w:sz="0" w:space="0" w:color="auto"/>
        <w:bottom w:val="none" w:sz="0" w:space="0" w:color="auto"/>
        <w:right w:val="none" w:sz="0" w:space="0" w:color="auto"/>
      </w:divBdr>
    </w:div>
    <w:div w:id="1685478007">
      <w:bodyDiv w:val="1"/>
      <w:marLeft w:val="0"/>
      <w:marRight w:val="0"/>
      <w:marTop w:val="0"/>
      <w:marBottom w:val="0"/>
      <w:divBdr>
        <w:top w:val="none" w:sz="0" w:space="0" w:color="auto"/>
        <w:left w:val="none" w:sz="0" w:space="0" w:color="auto"/>
        <w:bottom w:val="none" w:sz="0" w:space="0" w:color="auto"/>
        <w:right w:val="none" w:sz="0" w:space="0" w:color="auto"/>
      </w:divBdr>
    </w:div>
    <w:div w:id="1701468608">
      <w:bodyDiv w:val="1"/>
      <w:marLeft w:val="0"/>
      <w:marRight w:val="0"/>
      <w:marTop w:val="0"/>
      <w:marBottom w:val="0"/>
      <w:divBdr>
        <w:top w:val="none" w:sz="0" w:space="0" w:color="auto"/>
        <w:left w:val="none" w:sz="0" w:space="0" w:color="auto"/>
        <w:bottom w:val="none" w:sz="0" w:space="0" w:color="auto"/>
        <w:right w:val="none" w:sz="0" w:space="0" w:color="auto"/>
      </w:divBdr>
    </w:div>
    <w:div w:id="1718551399">
      <w:bodyDiv w:val="1"/>
      <w:marLeft w:val="0"/>
      <w:marRight w:val="0"/>
      <w:marTop w:val="0"/>
      <w:marBottom w:val="0"/>
      <w:divBdr>
        <w:top w:val="none" w:sz="0" w:space="0" w:color="auto"/>
        <w:left w:val="none" w:sz="0" w:space="0" w:color="auto"/>
        <w:bottom w:val="none" w:sz="0" w:space="0" w:color="auto"/>
        <w:right w:val="none" w:sz="0" w:space="0" w:color="auto"/>
      </w:divBdr>
    </w:div>
    <w:div w:id="1760365210">
      <w:bodyDiv w:val="1"/>
      <w:marLeft w:val="0"/>
      <w:marRight w:val="0"/>
      <w:marTop w:val="0"/>
      <w:marBottom w:val="0"/>
      <w:divBdr>
        <w:top w:val="none" w:sz="0" w:space="0" w:color="auto"/>
        <w:left w:val="none" w:sz="0" w:space="0" w:color="auto"/>
        <w:bottom w:val="none" w:sz="0" w:space="0" w:color="auto"/>
        <w:right w:val="none" w:sz="0" w:space="0" w:color="auto"/>
      </w:divBdr>
    </w:div>
    <w:div w:id="1782989316">
      <w:bodyDiv w:val="1"/>
      <w:marLeft w:val="0"/>
      <w:marRight w:val="0"/>
      <w:marTop w:val="0"/>
      <w:marBottom w:val="0"/>
      <w:divBdr>
        <w:top w:val="none" w:sz="0" w:space="0" w:color="auto"/>
        <w:left w:val="none" w:sz="0" w:space="0" w:color="auto"/>
        <w:bottom w:val="none" w:sz="0" w:space="0" w:color="auto"/>
        <w:right w:val="none" w:sz="0" w:space="0" w:color="auto"/>
      </w:divBdr>
    </w:div>
    <w:div w:id="1789348555">
      <w:bodyDiv w:val="1"/>
      <w:marLeft w:val="0"/>
      <w:marRight w:val="0"/>
      <w:marTop w:val="0"/>
      <w:marBottom w:val="0"/>
      <w:divBdr>
        <w:top w:val="none" w:sz="0" w:space="0" w:color="auto"/>
        <w:left w:val="none" w:sz="0" w:space="0" w:color="auto"/>
        <w:bottom w:val="none" w:sz="0" w:space="0" w:color="auto"/>
        <w:right w:val="none" w:sz="0" w:space="0" w:color="auto"/>
      </w:divBdr>
    </w:div>
    <w:div w:id="1806003352">
      <w:bodyDiv w:val="1"/>
      <w:marLeft w:val="0"/>
      <w:marRight w:val="0"/>
      <w:marTop w:val="0"/>
      <w:marBottom w:val="0"/>
      <w:divBdr>
        <w:top w:val="none" w:sz="0" w:space="0" w:color="auto"/>
        <w:left w:val="none" w:sz="0" w:space="0" w:color="auto"/>
        <w:bottom w:val="none" w:sz="0" w:space="0" w:color="auto"/>
        <w:right w:val="none" w:sz="0" w:space="0" w:color="auto"/>
      </w:divBdr>
    </w:div>
    <w:div w:id="1820419767">
      <w:bodyDiv w:val="1"/>
      <w:marLeft w:val="0"/>
      <w:marRight w:val="0"/>
      <w:marTop w:val="0"/>
      <w:marBottom w:val="0"/>
      <w:divBdr>
        <w:top w:val="none" w:sz="0" w:space="0" w:color="auto"/>
        <w:left w:val="none" w:sz="0" w:space="0" w:color="auto"/>
        <w:bottom w:val="none" w:sz="0" w:space="0" w:color="auto"/>
        <w:right w:val="none" w:sz="0" w:space="0" w:color="auto"/>
      </w:divBdr>
    </w:div>
    <w:div w:id="1823616130">
      <w:bodyDiv w:val="1"/>
      <w:marLeft w:val="0"/>
      <w:marRight w:val="0"/>
      <w:marTop w:val="0"/>
      <w:marBottom w:val="0"/>
      <w:divBdr>
        <w:top w:val="none" w:sz="0" w:space="0" w:color="auto"/>
        <w:left w:val="none" w:sz="0" w:space="0" w:color="auto"/>
        <w:bottom w:val="none" w:sz="0" w:space="0" w:color="auto"/>
        <w:right w:val="none" w:sz="0" w:space="0" w:color="auto"/>
      </w:divBdr>
    </w:div>
    <w:div w:id="1838106013">
      <w:bodyDiv w:val="1"/>
      <w:marLeft w:val="0"/>
      <w:marRight w:val="0"/>
      <w:marTop w:val="0"/>
      <w:marBottom w:val="0"/>
      <w:divBdr>
        <w:top w:val="none" w:sz="0" w:space="0" w:color="auto"/>
        <w:left w:val="none" w:sz="0" w:space="0" w:color="auto"/>
        <w:bottom w:val="none" w:sz="0" w:space="0" w:color="auto"/>
        <w:right w:val="none" w:sz="0" w:space="0" w:color="auto"/>
      </w:divBdr>
    </w:div>
    <w:div w:id="1845699961">
      <w:bodyDiv w:val="1"/>
      <w:marLeft w:val="0"/>
      <w:marRight w:val="0"/>
      <w:marTop w:val="0"/>
      <w:marBottom w:val="0"/>
      <w:divBdr>
        <w:top w:val="none" w:sz="0" w:space="0" w:color="auto"/>
        <w:left w:val="none" w:sz="0" w:space="0" w:color="auto"/>
        <w:bottom w:val="none" w:sz="0" w:space="0" w:color="auto"/>
        <w:right w:val="none" w:sz="0" w:space="0" w:color="auto"/>
      </w:divBdr>
    </w:div>
    <w:div w:id="1857843896">
      <w:bodyDiv w:val="1"/>
      <w:marLeft w:val="0"/>
      <w:marRight w:val="0"/>
      <w:marTop w:val="0"/>
      <w:marBottom w:val="0"/>
      <w:divBdr>
        <w:top w:val="none" w:sz="0" w:space="0" w:color="auto"/>
        <w:left w:val="none" w:sz="0" w:space="0" w:color="auto"/>
        <w:bottom w:val="none" w:sz="0" w:space="0" w:color="auto"/>
        <w:right w:val="none" w:sz="0" w:space="0" w:color="auto"/>
      </w:divBdr>
    </w:div>
    <w:div w:id="1862473013">
      <w:bodyDiv w:val="1"/>
      <w:marLeft w:val="0"/>
      <w:marRight w:val="0"/>
      <w:marTop w:val="0"/>
      <w:marBottom w:val="0"/>
      <w:divBdr>
        <w:top w:val="none" w:sz="0" w:space="0" w:color="auto"/>
        <w:left w:val="none" w:sz="0" w:space="0" w:color="auto"/>
        <w:bottom w:val="none" w:sz="0" w:space="0" w:color="auto"/>
        <w:right w:val="none" w:sz="0" w:space="0" w:color="auto"/>
      </w:divBdr>
    </w:div>
    <w:div w:id="1906912948">
      <w:bodyDiv w:val="1"/>
      <w:marLeft w:val="0"/>
      <w:marRight w:val="0"/>
      <w:marTop w:val="0"/>
      <w:marBottom w:val="0"/>
      <w:divBdr>
        <w:top w:val="none" w:sz="0" w:space="0" w:color="auto"/>
        <w:left w:val="none" w:sz="0" w:space="0" w:color="auto"/>
        <w:bottom w:val="none" w:sz="0" w:space="0" w:color="auto"/>
        <w:right w:val="none" w:sz="0" w:space="0" w:color="auto"/>
      </w:divBdr>
    </w:div>
    <w:div w:id="2115786297">
      <w:bodyDiv w:val="1"/>
      <w:marLeft w:val="0"/>
      <w:marRight w:val="0"/>
      <w:marTop w:val="0"/>
      <w:marBottom w:val="0"/>
      <w:divBdr>
        <w:top w:val="none" w:sz="0" w:space="0" w:color="auto"/>
        <w:left w:val="none" w:sz="0" w:space="0" w:color="auto"/>
        <w:bottom w:val="none" w:sz="0" w:space="0" w:color="auto"/>
        <w:right w:val="none" w:sz="0" w:space="0" w:color="auto"/>
      </w:divBdr>
    </w:div>
    <w:div w:id="2137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9.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10" Type="http://schemas.openxmlformats.org/officeDocument/2006/relationships/footer" Target="footer1.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'1.2. Niveau d''instruction CM'!$B$6</c:f>
              <c:strCache>
                <c:ptCount val="1"/>
                <c:pt idx="0">
                  <c:v>Pourcentage de chef de ménage</c:v>
                </c:pt>
              </c:strCache>
            </c:strRef>
          </c:tx>
          <c:invertIfNegative val="0"/>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'1.2. Niveau d''instruction CM'!$A$7:$A$14</c:f>
              <c:strCache>
                <c:ptCount val="8"/>
                <c:pt idx="0">
                  <c:v>NSP</c:v>
                </c:pt>
                <c:pt idx="1">
                  <c:v>Autre</c:v>
                </c:pt>
                <c:pt idx="2">
                  <c:v>Aucun</c:v>
                </c:pt>
                <c:pt idx="3">
                  <c:v>Maternelle</c:v>
                </c:pt>
                <c:pt idx="4">
                  <c:v>Primaire</c:v>
                </c:pt>
                <c:pt idx="5">
                  <c:v>Secondaire1</c:v>
                </c:pt>
                <c:pt idx="6">
                  <c:v>Secondaire2</c:v>
                </c:pt>
                <c:pt idx="7">
                  <c:v>Supérieur</c:v>
                </c:pt>
              </c:strCache>
            </c:strRef>
          </c:cat>
          <c:val>
            <c:numRef>
              <c:f>'1.2. Niveau d''instruction CM'!$B$7:$B$14</c:f>
              <c:numCache>
                <c:formatCode>0.0</c:formatCode>
                <c:ptCount val="8"/>
                <c:pt idx="0">
                  <c:v>2.0699999999999998</c:v>
                </c:pt>
                <c:pt idx="1">
                  <c:v>1.1800000000000028</c:v>
                </c:pt>
                <c:pt idx="2">
                  <c:v>41.61</c:v>
                </c:pt>
                <c:pt idx="3">
                  <c:v>4.95</c:v>
                </c:pt>
                <c:pt idx="4">
                  <c:v>24.14</c:v>
                </c:pt>
                <c:pt idx="5">
                  <c:v>13.02</c:v>
                </c:pt>
                <c:pt idx="6">
                  <c:v>7.05</c:v>
                </c:pt>
                <c:pt idx="7">
                  <c:v>5.9700000000000024</c:v>
                </c:pt>
              </c:numCache>
            </c:numRef>
          </c:val>
        </c:ser>
        <c:dLbls>
          <c:showLegendKey val="0"/>
          <c:showVal val="0"/>
          <c:showCatName val="0"/>
          <c:showSerName val="0"/>
          <c:showPercent val="0"/>
          <c:showBubbleSize val="0"/>
        </c:dLbls>
        <c:gapWidth val="61"/>
        <c:axId val="293449440"/>
        <c:axId val="291390304"/>
      </c:barChart>
      <c:catAx>
        <c:axId val="293449440"/>
        <c:scaling>
          <c:orientation val="minMax"/>
        </c:scaling>
        <c:delete val="0"/>
        <c:axPos val="l"/>
        <c:numFmt formatCode="General" sourceLinked="0"/>
        <c:majorTickMark val="none"/>
        <c:minorTickMark val="none"/>
        <c:tickLblPos val="nextTo"/>
        <c:txPr>
          <a:bodyPr/>
          <a:lstStyle/>
          <a:p>
            <a:pPr>
              <a:defRPr sz="1100"/>
            </a:pPr>
            <a:endParaRPr lang="fr-FR"/>
          </a:p>
        </c:txPr>
        <c:crossAx val="291390304"/>
        <c:crosses val="autoZero"/>
        <c:auto val="1"/>
        <c:lblAlgn val="ctr"/>
        <c:lblOffset val="100"/>
        <c:noMultiLvlLbl val="0"/>
      </c:catAx>
      <c:valAx>
        <c:axId val="291390304"/>
        <c:scaling>
          <c:orientation val="minMax"/>
        </c:scaling>
        <c:delete val="0"/>
        <c:axPos val="b"/>
        <c:title>
          <c:tx>
            <c:rich>
              <a:bodyPr/>
              <a:lstStyle/>
              <a:p>
                <a:pPr>
                  <a:defRPr b="0"/>
                </a:pPr>
                <a:r>
                  <a:rPr lang="en-US" sz="1000" b="0" i="0" u="none" strike="noStrike" baseline="0"/>
                  <a:t>Pourcentage de ménages</a:t>
                </a:r>
                <a:endParaRPr lang="fr-FR" b="0"/>
              </a:p>
            </c:rich>
          </c:tx>
          <c:overlay val="0"/>
        </c:title>
        <c:numFmt formatCode="0.0" sourceLinked="1"/>
        <c:majorTickMark val="out"/>
        <c:minorTickMark val="none"/>
        <c:tickLblPos val="nextTo"/>
        <c:crossAx val="293449440"/>
        <c:crosses val="autoZero"/>
        <c:crossBetween val="between"/>
      </c:valAx>
    </c:plotArea>
    <c:plotVisOnly val="1"/>
    <c:dispBlanksAs val="gap"/>
    <c:showDLblsOverMax val="0"/>
  </c:chart>
  <c:spPr>
    <a:solidFill>
      <a:schemeClr val="accent6">
        <a:lumMod val="20000"/>
        <a:lumOff val="80000"/>
      </a:schemeClr>
    </a:solidFill>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2182852143482079E-2"/>
          <c:y val="5.1400554097404488E-2"/>
          <c:w val="0.62909383202100022"/>
          <c:h val="0.67139253426655132"/>
        </c:manualLayout>
      </c:layout>
      <c:lineChart>
        <c:grouping val="standard"/>
        <c:varyColors val="0"/>
        <c:ser>
          <c:idx val="0"/>
          <c:order val="0"/>
          <c:tx>
            <c:strRef>
              <c:f>'Tableau 4.1'!$B$47</c:f>
              <c:strCache>
                <c:ptCount val="1"/>
                <c:pt idx="0">
                  <c:v>Durée totale de raccordement (en semaines)</c:v>
                </c:pt>
              </c:strCache>
            </c:strRef>
          </c:tx>
          <c:spPr>
            <a:ln>
              <a:prstDash val="sysDot"/>
            </a:ln>
          </c:spPr>
          <c:trendline>
            <c:trendlineType val="linear"/>
            <c:dispRSqr val="0"/>
            <c:dispEq val="0"/>
          </c:trendline>
          <c:cat>
            <c:strRef>
              <c:f>'Tableau 4.1'!$A$48:$A$57</c:f>
              <c:strCache>
                <c:ptCount val="10"/>
                <c:pt idx="0">
                  <c:v>&lt;=20000</c:v>
                </c:pt>
                <c:pt idx="1">
                  <c:v>]20000-30000]</c:v>
                </c:pt>
                <c:pt idx="2">
                  <c:v>]30000-45000]</c:v>
                </c:pt>
                <c:pt idx="3">
                  <c:v>]45000-50000]</c:v>
                </c:pt>
                <c:pt idx="4">
                  <c:v>]50000-60000]</c:v>
                </c:pt>
                <c:pt idx="5">
                  <c:v>]60000-80000]</c:v>
                </c:pt>
                <c:pt idx="6">
                  <c:v>]80000-100000]</c:v>
                </c:pt>
                <c:pt idx="7">
                  <c:v>]100000-130000]</c:v>
                </c:pt>
                <c:pt idx="8">
                  <c:v>]130000-200000]</c:v>
                </c:pt>
                <c:pt idx="9">
                  <c:v>&gt;200000</c:v>
                </c:pt>
              </c:strCache>
            </c:strRef>
          </c:cat>
          <c:val>
            <c:numRef>
              <c:f>'Tableau 4.1'!$B$48:$B$57</c:f>
              <c:numCache>
                <c:formatCode>0</c:formatCode>
                <c:ptCount val="10"/>
                <c:pt idx="0">
                  <c:v>47.013130000000011</c:v>
                </c:pt>
                <c:pt idx="1">
                  <c:v>26.411539999999952</c:v>
                </c:pt>
                <c:pt idx="2">
                  <c:v>36.594470000000001</c:v>
                </c:pt>
                <c:pt idx="3">
                  <c:v>23.704539999999948</c:v>
                </c:pt>
                <c:pt idx="4">
                  <c:v>45.884619999999998</c:v>
                </c:pt>
                <c:pt idx="5">
                  <c:v>32.214280000000002</c:v>
                </c:pt>
                <c:pt idx="6">
                  <c:v>32.267860000000006</c:v>
                </c:pt>
                <c:pt idx="7">
                  <c:v>14.668182</c:v>
                </c:pt>
                <c:pt idx="8">
                  <c:v>35.78634000000001</c:v>
                </c:pt>
                <c:pt idx="9">
                  <c:v>28.664260999999996</c:v>
                </c:pt>
              </c:numCache>
            </c:numRef>
          </c:val>
          <c:smooth val="0"/>
        </c:ser>
        <c:ser>
          <c:idx val="1"/>
          <c:order val="1"/>
          <c:tx>
            <c:strRef>
              <c:f>'Tableau 4.1'!$C$47</c:f>
              <c:strCache>
                <c:ptCount val="1"/>
                <c:pt idx="0">
                  <c:v>Quantité moyenne d'électricité consommée par mois par ménage (en KWh)</c:v>
                </c:pt>
              </c:strCache>
            </c:strRef>
          </c:tx>
          <c:trendline>
            <c:trendlineType val="linear"/>
            <c:dispRSqr val="0"/>
            <c:dispEq val="0"/>
          </c:trendline>
          <c:cat>
            <c:strRef>
              <c:f>'Tableau 4.1'!$A$48:$A$57</c:f>
              <c:strCache>
                <c:ptCount val="10"/>
                <c:pt idx="0">
                  <c:v>&lt;=20000</c:v>
                </c:pt>
                <c:pt idx="1">
                  <c:v>]20000-30000]</c:v>
                </c:pt>
                <c:pt idx="2">
                  <c:v>]30000-45000]</c:v>
                </c:pt>
                <c:pt idx="3">
                  <c:v>]45000-50000]</c:v>
                </c:pt>
                <c:pt idx="4">
                  <c:v>]50000-60000]</c:v>
                </c:pt>
                <c:pt idx="5">
                  <c:v>]60000-80000]</c:v>
                </c:pt>
                <c:pt idx="6">
                  <c:v>]80000-100000]</c:v>
                </c:pt>
                <c:pt idx="7">
                  <c:v>]100000-130000]</c:v>
                </c:pt>
                <c:pt idx="8">
                  <c:v>]130000-200000]</c:v>
                </c:pt>
                <c:pt idx="9">
                  <c:v>&gt;200000</c:v>
                </c:pt>
              </c:strCache>
            </c:strRef>
          </c:cat>
          <c:val>
            <c:numRef>
              <c:f>'Tableau 4.1'!$C$48:$C$57</c:f>
              <c:numCache>
                <c:formatCode>0</c:formatCode>
                <c:ptCount val="10"/>
                <c:pt idx="0">
                  <c:v>58.562500000000085</c:v>
                </c:pt>
                <c:pt idx="1">
                  <c:v>78.212120000000027</c:v>
                </c:pt>
                <c:pt idx="2">
                  <c:v>79.260270000000006</c:v>
                </c:pt>
                <c:pt idx="3">
                  <c:v>67.652779999999709</c:v>
                </c:pt>
                <c:pt idx="4">
                  <c:v>66.546880000000002</c:v>
                </c:pt>
                <c:pt idx="5">
                  <c:v>83.195879999999988</c:v>
                </c:pt>
                <c:pt idx="6">
                  <c:v>81.174419999999998</c:v>
                </c:pt>
                <c:pt idx="7">
                  <c:v>91.159089999999978</c:v>
                </c:pt>
                <c:pt idx="8">
                  <c:v>90.56044</c:v>
                </c:pt>
                <c:pt idx="9">
                  <c:v>117.72839999999998</c:v>
                </c:pt>
              </c:numCache>
            </c:numRef>
          </c:val>
          <c:smooth val="0"/>
        </c:ser>
        <c:dLbls>
          <c:showLegendKey val="0"/>
          <c:showVal val="0"/>
          <c:showCatName val="0"/>
          <c:showSerName val="0"/>
          <c:showPercent val="0"/>
          <c:showBubbleSize val="0"/>
        </c:dLbls>
        <c:marker val="1"/>
        <c:smooth val="0"/>
        <c:axId val="384773824"/>
        <c:axId val="384768224"/>
      </c:lineChart>
      <c:catAx>
        <c:axId val="384773824"/>
        <c:scaling>
          <c:orientation val="minMax"/>
        </c:scaling>
        <c:delete val="0"/>
        <c:axPos val="b"/>
        <c:numFmt formatCode="General" sourceLinked="0"/>
        <c:majorTickMark val="out"/>
        <c:minorTickMark val="none"/>
        <c:tickLblPos val="nextTo"/>
        <c:txPr>
          <a:bodyPr/>
          <a:lstStyle/>
          <a:p>
            <a:pPr>
              <a:defRPr sz="800"/>
            </a:pPr>
            <a:endParaRPr lang="fr-FR"/>
          </a:p>
        </c:txPr>
        <c:crossAx val="384768224"/>
        <c:crosses val="autoZero"/>
        <c:auto val="1"/>
        <c:lblAlgn val="ctr"/>
        <c:lblOffset val="100"/>
        <c:noMultiLvlLbl val="0"/>
      </c:catAx>
      <c:valAx>
        <c:axId val="384768224"/>
        <c:scaling>
          <c:orientation val="minMax"/>
        </c:scaling>
        <c:delete val="0"/>
        <c:axPos val="l"/>
        <c:majorGridlines/>
        <c:numFmt formatCode="0" sourceLinked="1"/>
        <c:majorTickMark val="out"/>
        <c:minorTickMark val="none"/>
        <c:tickLblPos val="nextTo"/>
        <c:crossAx val="384773824"/>
        <c:crosses val="autoZero"/>
        <c:crossBetween val="between"/>
      </c:valAx>
    </c:plotArea>
    <c:legend>
      <c:legendPos val="r"/>
      <c:layout>
        <c:manualLayout>
          <c:xMode val="edge"/>
          <c:yMode val="edge"/>
          <c:x val="0.70562391954835113"/>
          <c:y val="2.113332955682706E-3"/>
          <c:w val="0.27770931758530176"/>
          <c:h val="0.9961064219490533"/>
        </c:manualLayout>
      </c:layout>
      <c:overlay val="0"/>
      <c:txPr>
        <a:bodyPr/>
        <a:lstStyle/>
        <a:p>
          <a:pPr>
            <a:defRPr sz="700"/>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5974628171478921E-2"/>
          <c:y val="9.3451079031787704E-2"/>
          <c:w val="0.88735870516185456"/>
          <c:h val="0.76184200933216695"/>
        </c:manualLayout>
      </c:layout>
      <c:barChart>
        <c:barDir val="col"/>
        <c:grouping val="stacked"/>
        <c:varyColors val="0"/>
        <c:ser>
          <c:idx val="0"/>
          <c:order val="0"/>
          <c:tx>
            <c:strRef>
              <c:f>'Tableau 4.3'!$Q$21</c:f>
              <c:strCache>
                <c:ptCount val="1"/>
                <c:pt idx="0">
                  <c:v>Oui</c:v>
                </c:pt>
              </c:strCache>
            </c:strRef>
          </c:tx>
          <c:invertIfNegative val="0"/>
          <c:dLbls>
            <c:spPr>
              <a:noFill/>
              <a:ln>
                <a:noFill/>
              </a:ln>
              <a:effectLst/>
            </c:spPr>
            <c:txPr>
              <a:bodyPr/>
              <a:lstStyle/>
              <a:p>
                <a:pPr>
                  <a:defRPr b="1"/>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4.3'!$R$20:$V$20</c:f>
              <c:strCache>
                <c:ptCount val="5"/>
                <c:pt idx="0">
                  <c:v>Télévision</c:v>
                </c:pt>
                <c:pt idx="1">
                  <c:v>Radio</c:v>
                </c:pt>
                <c:pt idx="2">
                  <c:v>Presse écrite</c:v>
                </c:pt>
                <c:pt idx="3">
                  <c:v>SMS (GSM)</c:v>
                </c:pt>
                <c:pt idx="4">
                  <c:v>Autres moyens</c:v>
                </c:pt>
              </c:strCache>
            </c:strRef>
          </c:cat>
          <c:val>
            <c:numRef>
              <c:f>'Tableau 4.3'!$R$21:$V$21</c:f>
              <c:numCache>
                <c:formatCode>0.0</c:formatCode>
                <c:ptCount val="5"/>
                <c:pt idx="0">
                  <c:v>31.23</c:v>
                </c:pt>
                <c:pt idx="1">
                  <c:v>69.03</c:v>
                </c:pt>
                <c:pt idx="2">
                  <c:v>1.05</c:v>
                </c:pt>
                <c:pt idx="3">
                  <c:v>3.4099999999999997</c:v>
                </c:pt>
                <c:pt idx="4">
                  <c:v>7.6099999999999985</c:v>
                </c:pt>
              </c:numCache>
            </c:numRef>
          </c:val>
        </c:ser>
        <c:ser>
          <c:idx val="1"/>
          <c:order val="1"/>
          <c:tx>
            <c:strRef>
              <c:f>'Tableau 4.3'!$Q$22</c:f>
              <c:strCache>
                <c:ptCount val="1"/>
                <c:pt idx="0">
                  <c:v>Non</c:v>
                </c:pt>
              </c:strCache>
            </c:strRef>
          </c:tx>
          <c:invertIfNegative val="0"/>
          <c:dLbls>
            <c:spPr>
              <a:noFill/>
              <a:ln>
                <a:noFill/>
              </a:ln>
              <a:effectLst/>
            </c:spPr>
            <c:txPr>
              <a:bodyPr/>
              <a:lstStyle/>
              <a:p>
                <a:pPr>
                  <a:defRPr b="1"/>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4.3'!$R$20:$V$20</c:f>
              <c:strCache>
                <c:ptCount val="5"/>
                <c:pt idx="0">
                  <c:v>Télévision</c:v>
                </c:pt>
                <c:pt idx="1">
                  <c:v>Radio</c:v>
                </c:pt>
                <c:pt idx="2">
                  <c:v>Presse écrite</c:v>
                </c:pt>
                <c:pt idx="3">
                  <c:v>SMS (GSM)</c:v>
                </c:pt>
                <c:pt idx="4">
                  <c:v>Autres moyens</c:v>
                </c:pt>
              </c:strCache>
            </c:strRef>
          </c:cat>
          <c:val>
            <c:numRef>
              <c:f>'Tableau 4.3'!$R$22:$V$22</c:f>
              <c:numCache>
                <c:formatCode>0.0</c:formatCode>
                <c:ptCount val="5"/>
                <c:pt idx="0">
                  <c:v>67.72</c:v>
                </c:pt>
                <c:pt idx="1">
                  <c:v>29.66</c:v>
                </c:pt>
                <c:pt idx="2">
                  <c:v>97.38</c:v>
                </c:pt>
                <c:pt idx="3">
                  <c:v>94.75</c:v>
                </c:pt>
                <c:pt idx="4">
                  <c:v>88.19</c:v>
                </c:pt>
              </c:numCache>
            </c:numRef>
          </c:val>
        </c:ser>
        <c:ser>
          <c:idx val="2"/>
          <c:order val="2"/>
          <c:tx>
            <c:strRef>
              <c:f>'Tableau 4.3'!$Q$23</c:f>
              <c:strCache>
                <c:ptCount val="1"/>
                <c:pt idx="0">
                  <c:v>Non déclaré</c:v>
                </c:pt>
              </c:strCache>
            </c:strRef>
          </c:tx>
          <c:invertIfNegative val="0"/>
          <c:dLbls>
            <c:spPr>
              <a:noFill/>
              <a:ln>
                <a:noFill/>
              </a:ln>
              <a:effectLst/>
            </c:spPr>
            <c:txPr>
              <a:bodyPr/>
              <a:lstStyle/>
              <a:p>
                <a:pPr>
                  <a:defRPr b="1"/>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4.3'!$R$20:$V$20</c:f>
              <c:strCache>
                <c:ptCount val="5"/>
                <c:pt idx="0">
                  <c:v>Télévision</c:v>
                </c:pt>
                <c:pt idx="1">
                  <c:v>Radio</c:v>
                </c:pt>
                <c:pt idx="2">
                  <c:v>Presse écrite</c:v>
                </c:pt>
                <c:pt idx="3">
                  <c:v>SMS (GSM)</c:v>
                </c:pt>
                <c:pt idx="4">
                  <c:v>Autres moyens</c:v>
                </c:pt>
              </c:strCache>
            </c:strRef>
          </c:cat>
          <c:val>
            <c:numRef>
              <c:f>'Tableau 4.3'!$R$23:$V$23</c:f>
              <c:numCache>
                <c:formatCode>0.0</c:formatCode>
                <c:ptCount val="5"/>
                <c:pt idx="0">
                  <c:v>1.05</c:v>
                </c:pt>
                <c:pt idx="1">
                  <c:v>1.31</c:v>
                </c:pt>
                <c:pt idx="2">
                  <c:v>1.57</c:v>
                </c:pt>
                <c:pt idx="3">
                  <c:v>1.84</c:v>
                </c:pt>
                <c:pt idx="4">
                  <c:v>4.2</c:v>
                </c:pt>
              </c:numCache>
            </c:numRef>
          </c:val>
        </c:ser>
        <c:dLbls>
          <c:showLegendKey val="0"/>
          <c:showVal val="0"/>
          <c:showCatName val="0"/>
          <c:showSerName val="0"/>
          <c:showPercent val="0"/>
          <c:showBubbleSize val="0"/>
        </c:dLbls>
        <c:gapWidth val="150"/>
        <c:overlap val="100"/>
        <c:axId val="322521216"/>
        <c:axId val="322519536"/>
      </c:barChart>
      <c:catAx>
        <c:axId val="322521216"/>
        <c:scaling>
          <c:orientation val="minMax"/>
        </c:scaling>
        <c:delete val="0"/>
        <c:axPos val="b"/>
        <c:numFmt formatCode="General" sourceLinked="0"/>
        <c:majorTickMark val="out"/>
        <c:minorTickMark val="none"/>
        <c:tickLblPos val="nextTo"/>
        <c:txPr>
          <a:bodyPr/>
          <a:lstStyle/>
          <a:p>
            <a:pPr>
              <a:defRPr sz="1000" b="0">
                <a:latin typeface="Trebuchet MS" pitchFamily="34" charset="0"/>
              </a:defRPr>
            </a:pPr>
            <a:endParaRPr lang="fr-FR"/>
          </a:p>
        </c:txPr>
        <c:crossAx val="322519536"/>
        <c:crosses val="autoZero"/>
        <c:auto val="1"/>
        <c:lblAlgn val="ctr"/>
        <c:lblOffset val="100"/>
        <c:noMultiLvlLbl val="0"/>
      </c:catAx>
      <c:valAx>
        <c:axId val="322519536"/>
        <c:scaling>
          <c:orientation val="minMax"/>
          <c:max val="100"/>
        </c:scaling>
        <c:delete val="0"/>
        <c:axPos val="l"/>
        <c:majorGridlines/>
        <c:numFmt formatCode="0.0" sourceLinked="1"/>
        <c:majorTickMark val="out"/>
        <c:minorTickMark val="none"/>
        <c:tickLblPos val="nextTo"/>
        <c:txPr>
          <a:bodyPr/>
          <a:lstStyle/>
          <a:p>
            <a:pPr>
              <a:defRPr>
                <a:latin typeface="Trebuchet MS" pitchFamily="34" charset="0"/>
              </a:defRPr>
            </a:pPr>
            <a:endParaRPr lang="fr-FR"/>
          </a:p>
        </c:txPr>
        <c:crossAx val="322521216"/>
        <c:crosses val="autoZero"/>
        <c:crossBetween val="between"/>
      </c:valAx>
    </c:plotArea>
    <c:legend>
      <c:legendPos val="t"/>
      <c:layout>
        <c:manualLayout>
          <c:xMode val="edge"/>
          <c:yMode val="edge"/>
          <c:x val="0.31106846019247747"/>
          <c:y val="0"/>
          <c:w val="0.38338013998250392"/>
          <c:h val="8.3717191601050026E-2"/>
        </c:manualLayout>
      </c:layout>
      <c:overlay val="0"/>
      <c:txPr>
        <a:bodyPr/>
        <a:lstStyle/>
        <a:p>
          <a:pPr>
            <a:defRPr sz="900" b="1">
              <a:latin typeface="Trebuchet MS" pitchFamily="34" charset="0"/>
            </a:defRPr>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071741032370933E-2"/>
          <c:y val="7.9562190142899045E-2"/>
          <c:w val="0.88337270341207352"/>
          <c:h val="0.63241214639836651"/>
        </c:manualLayout>
      </c:layout>
      <c:barChart>
        <c:barDir val="col"/>
        <c:grouping val="stacked"/>
        <c:varyColors val="0"/>
        <c:ser>
          <c:idx val="0"/>
          <c:order val="0"/>
          <c:tx>
            <c:strRef>
              <c:f>'Tableau 4.3'!$AK$4</c:f>
              <c:strCache>
                <c:ptCount val="1"/>
                <c:pt idx="0">
                  <c:v>Oui</c:v>
                </c:pt>
              </c:strCache>
            </c:strRef>
          </c:tx>
          <c:invertIfNegative val="0"/>
          <c:dLbls>
            <c:spPr>
              <a:noFill/>
              <a:ln>
                <a:noFill/>
              </a:ln>
              <a:effectLst/>
            </c:spPr>
            <c:txPr>
              <a:bodyPr/>
              <a:lstStyle/>
              <a:p>
                <a:pPr>
                  <a:defRPr sz="105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4.3'!$AL$4:$AS$4</c:f>
              <c:numCache>
                <c:formatCode>0</c:formatCode>
                <c:ptCount val="8"/>
                <c:pt idx="0">
                  <c:v>46.64</c:v>
                </c:pt>
                <c:pt idx="1">
                  <c:v>65.66</c:v>
                </c:pt>
                <c:pt idx="2">
                  <c:v>67.47</c:v>
                </c:pt>
                <c:pt idx="3">
                  <c:v>37.660000000000011</c:v>
                </c:pt>
                <c:pt idx="4">
                  <c:v>77.13</c:v>
                </c:pt>
                <c:pt idx="5">
                  <c:v>75.25</c:v>
                </c:pt>
                <c:pt idx="6">
                  <c:v>63.32</c:v>
                </c:pt>
                <c:pt idx="7">
                  <c:v>32.53</c:v>
                </c:pt>
              </c:numCache>
            </c:numRef>
          </c:val>
        </c:ser>
        <c:ser>
          <c:idx val="1"/>
          <c:order val="1"/>
          <c:tx>
            <c:strRef>
              <c:f>'Tableau 4.3'!$AK$5</c:f>
              <c:strCache>
                <c:ptCount val="1"/>
                <c:pt idx="0">
                  <c:v>Non</c:v>
                </c:pt>
              </c:strCache>
            </c:strRef>
          </c:tx>
          <c:invertIfNegative val="0"/>
          <c:dLbls>
            <c:spPr>
              <a:noFill/>
              <a:ln>
                <a:noFill/>
              </a:ln>
              <a:effectLst/>
            </c:spPr>
            <c:txPr>
              <a:bodyPr/>
              <a:lstStyle/>
              <a:p>
                <a:pPr>
                  <a:defRPr sz="105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4.3'!$AL$5:$AS$5</c:f>
              <c:numCache>
                <c:formatCode>0</c:formatCode>
                <c:ptCount val="8"/>
                <c:pt idx="0">
                  <c:v>46.34</c:v>
                </c:pt>
                <c:pt idx="1">
                  <c:v>29.21</c:v>
                </c:pt>
                <c:pt idx="2">
                  <c:v>27.09</c:v>
                </c:pt>
                <c:pt idx="3">
                  <c:v>56</c:v>
                </c:pt>
                <c:pt idx="4">
                  <c:v>18.110000000000031</c:v>
                </c:pt>
                <c:pt idx="5">
                  <c:v>20.45</c:v>
                </c:pt>
                <c:pt idx="6">
                  <c:v>31.4</c:v>
                </c:pt>
                <c:pt idx="7">
                  <c:v>60.45</c:v>
                </c:pt>
              </c:numCache>
            </c:numRef>
          </c:val>
        </c:ser>
        <c:ser>
          <c:idx val="2"/>
          <c:order val="2"/>
          <c:tx>
            <c:strRef>
              <c:f>'Tableau 4.3'!$AK$6</c:f>
              <c:strCache>
                <c:ptCount val="1"/>
                <c:pt idx="0">
                  <c:v>Non déclaré</c:v>
                </c:pt>
              </c:strCache>
            </c:strRef>
          </c:tx>
          <c:invertIfNegative val="0"/>
          <c:dLbls>
            <c:spPr>
              <a:noFill/>
              <a:ln>
                <a:noFill/>
              </a:ln>
              <a:effectLst/>
            </c:spPr>
            <c:txPr>
              <a:bodyPr/>
              <a:lstStyle/>
              <a:p>
                <a:pPr>
                  <a:defRPr sz="105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4.3'!$AL$6:$AS$6</c:f>
              <c:numCache>
                <c:formatCode>0</c:formatCode>
                <c:ptCount val="8"/>
                <c:pt idx="0">
                  <c:v>7.02</c:v>
                </c:pt>
                <c:pt idx="1">
                  <c:v>5.13</c:v>
                </c:pt>
                <c:pt idx="2">
                  <c:v>5.4300000000000024</c:v>
                </c:pt>
                <c:pt idx="3">
                  <c:v>6.34</c:v>
                </c:pt>
                <c:pt idx="4">
                  <c:v>4.75</c:v>
                </c:pt>
                <c:pt idx="5">
                  <c:v>4.3</c:v>
                </c:pt>
                <c:pt idx="6">
                  <c:v>5.28</c:v>
                </c:pt>
                <c:pt idx="7">
                  <c:v>7.02</c:v>
                </c:pt>
              </c:numCache>
            </c:numRef>
          </c:val>
        </c:ser>
        <c:dLbls>
          <c:showLegendKey val="0"/>
          <c:showVal val="0"/>
          <c:showCatName val="0"/>
          <c:showSerName val="0"/>
          <c:showPercent val="0"/>
          <c:showBubbleSize val="0"/>
        </c:dLbls>
        <c:gapWidth val="150"/>
        <c:overlap val="100"/>
        <c:axId val="290672704"/>
        <c:axId val="290673264"/>
      </c:barChart>
      <c:catAx>
        <c:axId val="290672704"/>
        <c:scaling>
          <c:orientation val="minMax"/>
        </c:scaling>
        <c:delete val="0"/>
        <c:axPos val="b"/>
        <c:numFmt formatCode="General" sourceLinked="0"/>
        <c:majorTickMark val="out"/>
        <c:minorTickMark val="none"/>
        <c:tickLblPos val="nextTo"/>
        <c:txPr>
          <a:bodyPr/>
          <a:lstStyle/>
          <a:p>
            <a:pPr>
              <a:defRPr sz="700"/>
            </a:pPr>
            <a:endParaRPr lang="fr-FR"/>
          </a:p>
        </c:txPr>
        <c:crossAx val="290673264"/>
        <c:crosses val="autoZero"/>
        <c:auto val="1"/>
        <c:lblAlgn val="ctr"/>
        <c:lblOffset val="100"/>
        <c:noMultiLvlLbl val="0"/>
      </c:catAx>
      <c:valAx>
        <c:axId val="290673264"/>
        <c:scaling>
          <c:orientation val="minMax"/>
          <c:max val="100"/>
        </c:scaling>
        <c:delete val="0"/>
        <c:axPos val="l"/>
        <c:majorGridlines/>
        <c:numFmt formatCode="0" sourceLinked="1"/>
        <c:majorTickMark val="out"/>
        <c:minorTickMark val="none"/>
        <c:tickLblPos val="nextTo"/>
        <c:crossAx val="290672704"/>
        <c:crosses val="autoZero"/>
        <c:crossBetween val="between"/>
      </c:valAx>
    </c:plotArea>
    <c:legend>
      <c:legendPos val="t"/>
      <c:layout>
        <c:manualLayout>
          <c:xMode val="edge"/>
          <c:yMode val="edge"/>
          <c:x val="0.30273512685914261"/>
          <c:y val="4.6296296296296441E-3"/>
          <c:w val="0.37230752405949347"/>
          <c:h val="6.9828302712160978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2122885680956547"/>
          <c:w val="0.86235870516185453"/>
          <c:h val="0.76279126567512689"/>
        </c:manualLayout>
      </c:layout>
      <c:barChart>
        <c:barDir val="col"/>
        <c:grouping val="stacked"/>
        <c:varyColors val="0"/>
        <c:ser>
          <c:idx val="0"/>
          <c:order val="0"/>
          <c:tx>
            <c:strRef>
              <c:f>'Tableau 4.3'!$N$101</c:f>
              <c:strCache>
                <c:ptCount val="1"/>
                <c:pt idx="0">
                  <c:v>Oui baisse très accentuée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4.3'!$O$100:$Q$100</c:f>
              <c:strCache>
                <c:ptCount val="3"/>
                <c:pt idx="0">
                  <c:v>Ligne directe</c:v>
                </c:pt>
                <c:pt idx="1">
                  <c:v>Ligne sous-traitée</c:v>
                </c:pt>
                <c:pt idx="2">
                  <c:v>Ensemble</c:v>
                </c:pt>
              </c:strCache>
            </c:strRef>
          </c:cat>
          <c:val>
            <c:numRef>
              <c:f>'Tableau 4.3'!$O$101:$Q$101</c:f>
              <c:numCache>
                <c:formatCode>0.0</c:formatCode>
                <c:ptCount val="3"/>
                <c:pt idx="0">
                  <c:v>17.715617715617714</c:v>
                </c:pt>
                <c:pt idx="1">
                  <c:v>26.980728051391782</c:v>
                </c:pt>
                <c:pt idx="2">
                  <c:v>20.98113207547161</c:v>
                </c:pt>
              </c:numCache>
            </c:numRef>
          </c:val>
        </c:ser>
        <c:ser>
          <c:idx val="1"/>
          <c:order val="1"/>
          <c:tx>
            <c:strRef>
              <c:f>'Tableau 4.3'!$N$102</c:f>
              <c:strCache>
                <c:ptCount val="1"/>
                <c:pt idx="0">
                  <c:v>Oui légère baisse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4.3'!$O$100:$Q$100</c:f>
              <c:strCache>
                <c:ptCount val="3"/>
                <c:pt idx="0">
                  <c:v>Ligne directe</c:v>
                </c:pt>
                <c:pt idx="1">
                  <c:v>Ligne sous-traitée</c:v>
                </c:pt>
                <c:pt idx="2">
                  <c:v>Ensemble</c:v>
                </c:pt>
              </c:strCache>
            </c:strRef>
          </c:cat>
          <c:val>
            <c:numRef>
              <c:f>'Tableau 4.3'!$O$102:$Q$102</c:f>
              <c:numCache>
                <c:formatCode>0.0</c:formatCode>
                <c:ptCount val="3"/>
                <c:pt idx="0">
                  <c:v>36.596736596736598</c:v>
                </c:pt>
                <c:pt idx="1">
                  <c:v>28.693790149892934</c:v>
                </c:pt>
                <c:pt idx="2">
                  <c:v>33.811320754716824</c:v>
                </c:pt>
              </c:numCache>
            </c:numRef>
          </c:val>
        </c:ser>
        <c:ser>
          <c:idx val="2"/>
          <c:order val="2"/>
          <c:tx>
            <c:strRef>
              <c:f>'Tableau 4.3'!$N$103</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4.3'!$O$100:$Q$100</c:f>
              <c:strCache>
                <c:ptCount val="3"/>
                <c:pt idx="0">
                  <c:v>Ligne directe</c:v>
                </c:pt>
                <c:pt idx="1">
                  <c:v>Ligne sous-traitée</c:v>
                </c:pt>
                <c:pt idx="2">
                  <c:v>Ensemble</c:v>
                </c:pt>
              </c:strCache>
            </c:strRef>
          </c:cat>
          <c:val>
            <c:numRef>
              <c:f>'Tableau 4.3'!$O$103:$Q$103</c:f>
              <c:numCache>
                <c:formatCode>0.0</c:formatCode>
                <c:ptCount val="3"/>
                <c:pt idx="0">
                  <c:v>40.559440559440326</c:v>
                </c:pt>
                <c:pt idx="1">
                  <c:v>39.400428265524624</c:v>
                </c:pt>
                <c:pt idx="2">
                  <c:v>40.150943396226396</c:v>
                </c:pt>
              </c:numCache>
            </c:numRef>
          </c:val>
        </c:ser>
        <c:ser>
          <c:idx val="3"/>
          <c:order val="3"/>
          <c:tx>
            <c:strRef>
              <c:f>'Tableau 4.3'!$N$104</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4.3'!$O$100:$Q$100</c:f>
              <c:strCache>
                <c:ptCount val="3"/>
                <c:pt idx="0">
                  <c:v>Ligne directe</c:v>
                </c:pt>
                <c:pt idx="1">
                  <c:v>Ligne sous-traitée</c:v>
                </c:pt>
                <c:pt idx="2">
                  <c:v>Ensemble</c:v>
                </c:pt>
              </c:strCache>
            </c:strRef>
          </c:cat>
          <c:val>
            <c:numRef>
              <c:f>'Tableau 4.3'!$O$104:$Q$104</c:f>
              <c:numCache>
                <c:formatCode>0.0</c:formatCode>
                <c:ptCount val="3"/>
                <c:pt idx="0">
                  <c:v>5.1282051282051286</c:v>
                </c:pt>
                <c:pt idx="1">
                  <c:v>4.925053533190578</c:v>
                </c:pt>
                <c:pt idx="2">
                  <c:v>5.0566037735849134</c:v>
                </c:pt>
              </c:numCache>
            </c:numRef>
          </c:val>
        </c:ser>
        <c:dLbls>
          <c:showLegendKey val="0"/>
          <c:showVal val="0"/>
          <c:showCatName val="0"/>
          <c:showSerName val="0"/>
          <c:showPercent val="0"/>
          <c:showBubbleSize val="0"/>
        </c:dLbls>
        <c:gapWidth val="150"/>
        <c:overlap val="100"/>
        <c:axId val="289603168"/>
        <c:axId val="289604848"/>
      </c:barChart>
      <c:catAx>
        <c:axId val="289603168"/>
        <c:scaling>
          <c:orientation val="minMax"/>
        </c:scaling>
        <c:delete val="0"/>
        <c:axPos val="b"/>
        <c:numFmt formatCode="General" sourceLinked="1"/>
        <c:majorTickMark val="out"/>
        <c:minorTickMark val="none"/>
        <c:tickLblPos val="nextTo"/>
        <c:crossAx val="289604848"/>
        <c:crosses val="autoZero"/>
        <c:auto val="1"/>
        <c:lblAlgn val="ctr"/>
        <c:lblOffset val="100"/>
        <c:noMultiLvlLbl val="0"/>
      </c:catAx>
      <c:valAx>
        <c:axId val="289604848"/>
        <c:scaling>
          <c:orientation val="minMax"/>
          <c:max val="100"/>
        </c:scaling>
        <c:delete val="0"/>
        <c:axPos val="l"/>
        <c:majorGridlines/>
        <c:numFmt formatCode="0.0" sourceLinked="1"/>
        <c:majorTickMark val="out"/>
        <c:minorTickMark val="none"/>
        <c:tickLblPos val="nextTo"/>
        <c:crossAx val="289603168"/>
        <c:crosses val="autoZero"/>
        <c:crossBetween val="between"/>
        <c:majorUnit val="20"/>
      </c:valAx>
    </c:plotArea>
    <c:legend>
      <c:legendPos val="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2122885680956545"/>
          <c:w val="0.86235870516185453"/>
          <c:h val="0.6073756926217575"/>
        </c:manualLayout>
      </c:layout>
      <c:barChart>
        <c:barDir val="col"/>
        <c:grouping val="stacked"/>
        <c:varyColors val="0"/>
        <c:ser>
          <c:idx val="0"/>
          <c:order val="0"/>
          <c:tx>
            <c:strRef>
              <c:f>'Tableau 4.3'!$J$143</c:f>
              <c:strCache>
                <c:ptCount val="1"/>
                <c:pt idx="0">
                  <c:v>Oui baisse très accentuées</c:v>
                </c:pt>
              </c:strCache>
            </c:strRef>
          </c:tx>
          <c:invertIfNegative val="0"/>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4.3'!$J$144:$J$156</c:f>
              <c:numCache>
                <c:formatCode>0.0</c:formatCode>
                <c:ptCount val="13"/>
                <c:pt idx="0">
                  <c:v>21.56862745098033</c:v>
                </c:pt>
                <c:pt idx="1">
                  <c:v>9.1954022988505741</c:v>
                </c:pt>
                <c:pt idx="2">
                  <c:v>29.545454545454547</c:v>
                </c:pt>
                <c:pt idx="3">
                  <c:v>25</c:v>
                </c:pt>
                <c:pt idx="4">
                  <c:v>32.407407407407213</c:v>
                </c:pt>
                <c:pt idx="5">
                  <c:v>23.529411764705884</c:v>
                </c:pt>
                <c:pt idx="6">
                  <c:v>12.727272727272689</c:v>
                </c:pt>
                <c:pt idx="7">
                  <c:v>11.210762331838565</c:v>
                </c:pt>
                <c:pt idx="8">
                  <c:v>12.5</c:v>
                </c:pt>
                <c:pt idx="9">
                  <c:v>22.222222222222147</c:v>
                </c:pt>
                <c:pt idx="10">
                  <c:v>28.260869565217387</c:v>
                </c:pt>
                <c:pt idx="11">
                  <c:v>29.585798816567969</c:v>
                </c:pt>
                <c:pt idx="12">
                  <c:v>20.98113207547161</c:v>
                </c:pt>
              </c:numCache>
            </c:numRef>
          </c:val>
        </c:ser>
        <c:ser>
          <c:idx val="1"/>
          <c:order val="1"/>
          <c:tx>
            <c:strRef>
              <c:f>'Tableau 4.3'!$K$143</c:f>
              <c:strCache>
                <c:ptCount val="1"/>
                <c:pt idx="0">
                  <c:v>Oui légères baisses</c:v>
                </c:pt>
              </c:strCache>
            </c:strRef>
          </c:tx>
          <c:invertIfNegative val="0"/>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4.3'!$K$144:$K$156</c:f>
              <c:numCache>
                <c:formatCode>0.0</c:formatCode>
                <c:ptCount val="13"/>
                <c:pt idx="0">
                  <c:v>47.058823529411754</c:v>
                </c:pt>
                <c:pt idx="1">
                  <c:v>20.689655172413794</c:v>
                </c:pt>
                <c:pt idx="2">
                  <c:v>25.56818181818177</c:v>
                </c:pt>
                <c:pt idx="3">
                  <c:v>63.888888888888886</c:v>
                </c:pt>
                <c:pt idx="4">
                  <c:v>21.296296296296287</c:v>
                </c:pt>
                <c:pt idx="5">
                  <c:v>58.823529411764568</c:v>
                </c:pt>
                <c:pt idx="6">
                  <c:v>43.636363636363626</c:v>
                </c:pt>
                <c:pt idx="7">
                  <c:v>37.668161434977613</c:v>
                </c:pt>
                <c:pt idx="8">
                  <c:v>21.153846153846203</c:v>
                </c:pt>
                <c:pt idx="9">
                  <c:v>43.434343434343305</c:v>
                </c:pt>
                <c:pt idx="10">
                  <c:v>34.782608695652144</c:v>
                </c:pt>
                <c:pt idx="11">
                  <c:v>28.994082840236686</c:v>
                </c:pt>
                <c:pt idx="12">
                  <c:v>33.811320754716824</c:v>
                </c:pt>
              </c:numCache>
            </c:numRef>
          </c:val>
        </c:ser>
        <c:ser>
          <c:idx val="2"/>
          <c:order val="2"/>
          <c:tx>
            <c:strRef>
              <c:f>'Tableau 4.3'!$L$143</c:f>
              <c:strCache>
                <c:ptCount val="1"/>
                <c:pt idx="0">
                  <c:v>Non</c:v>
                </c:pt>
              </c:strCache>
            </c:strRef>
          </c:tx>
          <c:invertIfNegative val="0"/>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4.3'!$L$144:$L$156</c:f>
              <c:numCache>
                <c:formatCode>0.0</c:formatCode>
                <c:ptCount val="13"/>
                <c:pt idx="0">
                  <c:v>17.647058823529431</c:v>
                </c:pt>
                <c:pt idx="1">
                  <c:v>65.517241379310576</c:v>
                </c:pt>
                <c:pt idx="2">
                  <c:v>40.909090909090907</c:v>
                </c:pt>
                <c:pt idx="3">
                  <c:v>8.3333333333333357</c:v>
                </c:pt>
                <c:pt idx="4">
                  <c:v>40.740740740740762</c:v>
                </c:pt>
                <c:pt idx="5">
                  <c:v>17.647058823529431</c:v>
                </c:pt>
                <c:pt idx="6">
                  <c:v>40</c:v>
                </c:pt>
                <c:pt idx="7">
                  <c:v>42.600896860986545</c:v>
                </c:pt>
                <c:pt idx="8">
                  <c:v>60.57692307692308</c:v>
                </c:pt>
                <c:pt idx="9">
                  <c:v>30.303030303030287</c:v>
                </c:pt>
                <c:pt idx="10">
                  <c:v>30.434782608695652</c:v>
                </c:pt>
                <c:pt idx="11">
                  <c:v>40.236686390532547</c:v>
                </c:pt>
                <c:pt idx="12">
                  <c:v>40.150943396226396</c:v>
                </c:pt>
              </c:numCache>
            </c:numRef>
          </c:val>
        </c:ser>
        <c:ser>
          <c:idx val="3"/>
          <c:order val="3"/>
          <c:tx>
            <c:strRef>
              <c:f>'Tableau 4.3'!$M$143</c:f>
              <c:strCache>
                <c:ptCount val="1"/>
                <c:pt idx="0">
                  <c:v>Non déclaré</c:v>
                </c:pt>
              </c:strCache>
            </c:strRef>
          </c:tx>
          <c:invertIfNegative val="0"/>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4.3'!$M$144:$M$156</c:f>
              <c:numCache>
                <c:formatCode>0.0</c:formatCode>
                <c:ptCount val="13"/>
                <c:pt idx="0">
                  <c:v>13.725490196078432</c:v>
                </c:pt>
                <c:pt idx="1">
                  <c:v>4.5977011494252764</c:v>
                </c:pt>
                <c:pt idx="2">
                  <c:v>3.9772727272727271</c:v>
                </c:pt>
                <c:pt idx="3">
                  <c:v>2.7777777777777883</c:v>
                </c:pt>
                <c:pt idx="4">
                  <c:v>5.5555555555555376</c:v>
                </c:pt>
                <c:pt idx="5">
                  <c:v>0</c:v>
                </c:pt>
                <c:pt idx="6">
                  <c:v>3.6363636363636327</c:v>
                </c:pt>
                <c:pt idx="7">
                  <c:v>8.52017937219731</c:v>
                </c:pt>
                <c:pt idx="8">
                  <c:v>5.7692307692307692</c:v>
                </c:pt>
                <c:pt idx="9">
                  <c:v>4.0404040404040407</c:v>
                </c:pt>
                <c:pt idx="10">
                  <c:v>6.5217391304347823</c:v>
                </c:pt>
                <c:pt idx="11">
                  <c:v>1.1834319526627219</c:v>
                </c:pt>
                <c:pt idx="12">
                  <c:v>5.0566037735849134</c:v>
                </c:pt>
              </c:numCache>
            </c:numRef>
          </c:val>
        </c:ser>
        <c:dLbls>
          <c:showLegendKey val="0"/>
          <c:showVal val="0"/>
          <c:showCatName val="0"/>
          <c:showSerName val="0"/>
          <c:showPercent val="0"/>
          <c:showBubbleSize val="0"/>
        </c:dLbls>
        <c:gapWidth val="150"/>
        <c:overlap val="100"/>
        <c:axId val="327947376"/>
        <c:axId val="327935056"/>
      </c:barChart>
      <c:catAx>
        <c:axId val="327947376"/>
        <c:scaling>
          <c:orientation val="minMax"/>
        </c:scaling>
        <c:delete val="0"/>
        <c:axPos val="b"/>
        <c:numFmt formatCode="General" sourceLinked="0"/>
        <c:majorTickMark val="out"/>
        <c:minorTickMark val="none"/>
        <c:tickLblPos val="nextTo"/>
        <c:crossAx val="327935056"/>
        <c:crosses val="autoZero"/>
        <c:auto val="1"/>
        <c:lblAlgn val="ctr"/>
        <c:lblOffset val="100"/>
        <c:noMultiLvlLbl val="0"/>
      </c:catAx>
      <c:valAx>
        <c:axId val="327935056"/>
        <c:scaling>
          <c:orientation val="minMax"/>
          <c:max val="100"/>
        </c:scaling>
        <c:delete val="0"/>
        <c:axPos val="l"/>
        <c:majorGridlines/>
        <c:numFmt formatCode="0.0" sourceLinked="1"/>
        <c:majorTickMark val="out"/>
        <c:minorTickMark val="none"/>
        <c:tickLblPos val="nextTo"/>
        <c:crossAx val="327947376"/>
        <c:crosses val="autoZero"/>
        <c:crossBetween val="between"/>
      </c:valAx>
    </c:plotArea>
    <c:legend>
      <c:legendPos val="t"/>
      <c:layout>
        <c:manualLayout>
          <c:xMode val="edge"/>
          <c:yMode val="edge"/>
          <c:x val="0.05"/>
          <c:y val="1.3888888888888935E-2"/>
          <c:w val="0.9"/>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11969597550306"/>
          <c:w val="0.86235870516185453"/>
          <c:h val="0.69880905511811253"/>
        </c:manualLayout>
      </c:layout>
      <c:barChart>
        <c:barDir val="col"/>
        <c:grouping val="stacked"/>
        <c:varyColors val="0"/>
        <c:ser>
          <c:idx val="0"/>
          <c:order val="0"/>
          <c:tx>
            <c:strRef>
              <c:f>'Tableau 4.3'!$BD$4</c:f>
              <c:strCache>
                <c:ptCount val="1"/>
                <c:pt idx="0">
                  <c:v>Mécontent</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4.3'!$BE$4:$BJ$4</c:f>
              <c:numCache>
                <c:formatCode>0.0</c:formatCode>
                <c:ptCount val="6"/>
                <c:pt idx="0">
                  <c:v>78.11</c:v>
                </c:pt>
                <c:pt idx="1">
                  <c:v>72.83</c:v>
                </c:pt>
                <c:pt idx="2">
                  <c:v>60.379999999999995</c:v>
                </c:pt>
                <c:pt idx="3">
                  <c:v>56.75</c:v>
                </c:pt>
                <c:pt idx="4">
                  <c:v>59.620000000000012</c:v>
                </c:pt>
                <c:pt idx="5">
                  <c:v>67.47</c:v>
                </c:pt>
              </c:numCache>
            </c:numRef>
          </c:val>
        </c:ser>
        <c:ser>
          <c:idx val="1"/>
          <c:order val="1"/>
          <c:tx>
            <c:strRef>
              <c:f>'Tableau 4.3'!$BD$5</c:f>
              <c:strCache>
                <c:ptCount val="1"/>
                <c:pt idx="0">
                  <c:v>Neutre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4.3'!$BE$5:$BJ$5</c:f>
              <c:numCache>
                <c:formatCode>0.0</c:formatCode>
                <c:ptCount val="6"/>
                <c:pt idx="0">
                  <c:v>7.4700000000000024</c:v>
                </c:pt>
                <c:pt idx="1">
                  <c:v>15.17</c:v>
                </c:pt>
                <c:pt idx="2">
                  <c:v>27.85</c:v>
                </c:pt>
                <c:pt idx="3">
                  <c:v>28</c:v>
                </c:pt>
                <c:pt idx="4">
                  <c:v>28.830000000000005</c:v>
                </c:pt>
                <c:pt idx="5">
                  <c:v>18.57</c:v>
                </c:pt>
              </c:numCache>
            </c:numRef>
          </c:val>
        </c:ser>
        <c:ser>
          <c:idx val="2"/>
          <c:order val="2"/>
          <c:tx>
            <c:strRef>
              <c:f>'Tableau 4.3'!$BD$6</c:f>
              <c:strCache>
                <c:ptCount val="1"/>
                <c:pt idx="0">
                  <c:v>Satisfait</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4.3'!$BE$6:$BJ$6</c:f>
              <c:numCache>
                <c:formatCode>0.0</c:formatCode>
                <c:ptCount val="6"/>
                <c:pt idx="0">
                  <c:v>11.850000000000021</c:v>
                </c:pt>
                <c:pt idx="1">
                  <c:v>10.11</c:v>
                </c:pt>
                <c:pt idx="2">
                  <c:v>8.68</c:v>
                </c:pt>
                <c:pt idx="3">
                  <c:v>11.47</c:v>
                </c:pt>
                <c:pt idx="4">
                  <c:v>7.78</c:v>
                </c:pt>
                <c:pt idx="5">
                  <c:v>12.3</c:v>
                </c:pt>
              </c:numCache>
            </c:numRef>
          </c:val>
        </c:ser>
        <c:ser>
          <c:idx val="3"/>
          <c:order val="3"/>
          <c:tx>
            <c:strRef>
              <c:f>'Tableau 4.3'!$BD$7</c:f>
              <c:strCache>
                <c:ptCount val="1"/>
                <c:pt idx="0">
                  <c:v>Ne s'applique pas</c:v>
                </c:pt>
              </c:strCache>
            </c:strRef>
          </c:tx>
          <c:invertIfNegative val="0"/>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4.3'!$BE$7:$BJ$7</c:f>
              <c:numCache>
                <c:formatCode>0.0</c:formatCode>
                <c:ptCount val="6"/>
                <c:pt idx="0">
                  <c:v>0</c:v>
                </c:pt>
                <c:pt idx="1">
                  <c:v>0.23</c:v>
                </c:pt>
                <c:pt idx="2">
                  <c:v>1.21</c:v>
                </c:pt>
                <c:pt idx="3">
                  <c:v>1.6600000000000001</c:v>
                </c:pt>
                <c:pt idx="4">
                  <c:v>1.8900000000000001</c:v>
                </c:pt>
                <c:pt idx="5">
                  <c:v>0</c:v>
                </c:pt>
              </c:numCache>
            </c:numRef>
          </c:val>
        </c:ser>
        <c:ser>
          <c:idx val="4"/>
          <c:order val="4"/>
          <c:tx>
            <c:strRef>
              <c:f>'Tableau 4.3'!$BD$8</c:f>
              <c:strCache>
                <c:ptCount val="1"/>
                <c:pt idx="0">
                  <c:v>Non déclaré</c:v>
                </c:pt>
              </c:strCache>
            </c:strRef>
          </c:tx>
          <c:invertIfNegative val="0"/>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4.3'!$BE$8:$BJ$8</c:f>
              <c:numCache>
                <c:formatCode>0.0</c:formatCode>
                <c:ptCount val="6"/>
                <c:pt idx="0">
                  <c:v>2.57</c:v>
                </c:pt>
                <c:pt idx="1">
                  <c:v>1.6600000000000001</c:v>
                </c:pt>
                <c:pt idx="2">
                  <c:v>1.8900000000000001</c:v>
                </c:pt>
                <c:pt idx="3">
                  <c:v>2.11</c:v>
                </c:pt>
                <c:pt idx="4">
                  <c:v>1.8900000000000001</c:v>
                </c:pt>
                <c:pt idx="5">
                  <c:v>1.6600000000000001</c:v>
                </c:pt>
              </c:numCache>
            </c:numRef>
          </c:val>
        </c:ser>
        <c:dLbls>
          <c:showLegendKey val="0"/>
          <c:showVal val="0"/>
          <c:showCatName val="0"/>
          <c:showSerName val="0"/>
          <c:showPercent val="0"/>
          <c:showBubbleSize val="0"/>
        </c:dLbls>
        <c:gapWidth val="150"/>
        <c:overlap val="100"/>
        <c:axId val="291315088"/>
        <c:axId val="291307808"/>
      </c:barChart>
      <c:catAx>
        <c:axId val="291315088"/>
        <c:scaling>
          <c:orientation val="minMax"/>
        </c:scaling>
        <c:delete val="0"/>
        <c:axPos val="b"/>
        <c:numFmt formatCode="General" sourceLinked="0"/>
        <c:majorTickMark val="out"/>
        <c:minorTickMark val="none"/>
        <c:tickLblPos val="nextTo"/>
        <c:txPr>
          <a:bodyPr/>
          <a:lstStyle/>
          <a:p>
            <a:pPr>
              <a:defRPr sz="800"/>
            </a:pPr>
            <a:endParaRPr lang="fr-FR"/>
          </a:p>
        </c:txPr>
        <c:crossAx val="291307808"/>
        <c:crosses val="autoZero"/>
        <c:auto val="1"/>
        <c:lblAlgn val="ctr"/>
        <c:lblOffset val="100"/>
        <c:noMultiLvlLbl val="0"/>
      </c:catAx>
      <c:valAx>
        <c:axId val="291307808"/>
        <c:scaling>
          <c:orientation val="minMax"/>
          <c:max val="100"/>
        </c:scaling>
        <c:delete val="0"/>
        <c:axPos val="l"/>
        <c:majorGridlines/>
        <c:numFmt formatCode="0.0" sourceLinked="1"/>
        <c:majorTickMark val="out"/>
        <c:minorTickMark val="none"/>
        <c:tickLblPos val="nextTo"/>
        <c:crossAx val="291315088"/>
        <c:crosses val="autoZero"/>
        <c:crossBetween val="between"/>
        <c:majorUnit val="20"/>
      </c:valAx>
    </c:plotArea>
    <c:legend>
      <c:legendPos val="t"/>
      <c:layout>
        <c:manualLayout>
          <c:xMode val="edge"/>
          <c:yMode val="edge"/>
          <c:x val="0.05"/>
          <c:y val="9.2592592592593073E-3"/>
          <c:w val="0.9"/>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071741032370933E-2"/>
          <c:y val="0.12122885680956545"/>
          <c:w val="0.88337270341207352"/>
          <c:h val="0.6073756926217575"/>
        </c:manualLayout>
      </c:layout>
      <c:barChart>
        <c:barDir val="col"/>
        <c:grouping val="stacked"/>
        <c:varyColors val="0"/>
        <c:ser>
          <c:idx val="0"/>
          <c:order val="0"/>
          <c:tx>
            <c:strRef>
              <c:f>'Tableau 5.1 &amp; 5.2'!$BP$41</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5.2'!$BP$42:$BP$58</c:f>
              <c:numCache>
                <c:formatCode>0</c:formatCode>
                <c:ptCount val="17"/>
                <c:pt idx="0">
                  <c:v>89.695210449927629</c:v>
                </c:pt>
                <c:pt idx="1">
                  <c:v>77.966101694915551</c:v>
                </c:pt>
                <c:pt idx="2">
                  <c:v>85.668789808917182</c:v>
                </c:pt>
                <c:pt idx="3">
                  <c:v>87.234042553191458</c:v>
                </c:pt>
                <c:pt idx="4">
                  <c:v>64.444444444444613</c:v>
                </c:pt>
                <c:pt idx="5">
                  <c:v>77.777777777777658</c:v>
                </c:pt>
                <c:pt idx="6">
                  <c:v>92.929292929292927</c:v>
                </c:pt>
                <c:pt idx="7">
                  <c:v>98</c:v>
                </c:pt>
                <c:pt idx="8">
                  <c:v>84.745762711864359</c:v>
                </c:pt>
                <c:pt idx="9">
                  <c:v>83.333333333333258</c:v>
                </c:pt>
                <c:pt idx="10">
                  <c:v>93.684210526315795</c:v>
                </c:pt>
                <c:pt idx="11">
                  <c:v>71.428571428571388</c:v>
                </c:pt>
                <c:pt idx="12">
                  <c:v>89.430894308943095</c:v>
                </c:pt>
                <c:pt idx="13">
                  <c:v>92.035398230088205</c:v>
                </c:pt>
                <c:pt idx="14">
                  <c:v>82.608695652173878</c:v>
                </c:pt>
                <c:pt idx="15">
                  <c:v>76.335877862595026</c:v>
                </c:pt>
                <c:pt idx="16">
                  <c:v>86.702702702702425</c:v>
                </c:pt>
              </c:numCache>
            </c:numRef>
          </c:val>
        </c:ser>
        <c:ser>
          <c:idx val="1"/>
          <c:order val="1"/>
          <c:tx>
            <c:strRef>
              <c:f>'Tableau 5.1 &amp; 5.2'!$BQ$41</c:f>
              <c:strCache>
                <c:ptCount val="1"/>
                <c:pt idx="0">
                  <c:v>Non</c:v>
                </c:pt>
              </c:strCache>
            </c:strRef>
          </c:tx>
          <c:invertIfNegative val="0"/>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5.2'!$BQ$42:$BQ$58</c:f>
              <c:numCache>
                <c:formatCode>0</c:formatCode>
                <c:ptCount val="17"/>
                <c:pt idx="0">
                  <c:v>8.4179970972423828</c:v>
                </c:pt>
                <c:pt idx="1">
                  <c:v>20.762711864406779</c:v>
                </c:pt>
                <c:pt idx="2">
                  <c:v>12.420382165605096</c:v>
                </c:pt>
                <c:pt idx="3">
                  <c:v>11.129296235679245</c:v>
                </c:pt>
                <c:pt idx="4">
                  <c:v>24.444444444444443</c:v>
                </c:pt>
                <c:pt idx="5">
                  <c:v>22.222222222222147</c:v>
                </c:pt>
                <c:pt idx="6">
                  <c:v>5.0505050505050351</c:v>
                </c:pt>
                <c:pt idx="7">
                  <c:v>2</c:v>
                </c:pt>
                <c:pt idx="8">
                  <c:v>13.559322033898304</c:v>
                </c:pt>
                <c:pt idx="9">
                  <c:v>13.333333333333334</c:v>
                </c:pt>
                <c:pt idx="10">
                  <c:v>6.3157894736842106</c:v>
                </c:pt>
                <c:pt idx="11">
                  <c:v>9.5238095238095237</c:v>
                </c:pt>
                <c:pt idx="12">
                  <c:v>10.569105691056922</c:v>
                </c:pt>
                <c:pt idx="13">
                  <c:v>7.0796460176991314</c:v>
                </c:pt>
                <c:pt idx="14">
                  <c:v>17.39130434782609</c:v>
                </c:pt>
                <c:pt idx="15">
                  <c:v>22.900763358778626</c:v>
                </c:pt>
                <c:pt idx="16">
                  <c:v>11.56756756756757</c:v>
                </c:pt>
              </c:numCache>
            </c:numRef>
          </c:val>
        </c:ser>
        <c:ser>
          <c:idx val="2"/>
          <c:order val="2"/>
          <c:tx>
            <c:strRef>
              <c:f>'Tableau 5.1 &amp; 5.2'!$BR$41</c:f>
              <c:strCache>
                <c:ptCount val="1"/>
                <c:pt idx="0">
                  <c:v>Non déclaré</c:v>
                </c:pt>
              </c:strCache>
            </c:strRef>
          </c:tx>
          <c:invertIfNegative val="0"/>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5.2'!$BR$42:$BR$58</c:f>
              <c:numCache>
                <c:formatCode>0</c:formatCode>
                <c:ptCount val="17"/>
                <c:pt idx="0">
                  <c:v>1.8867924528301878</c:v>
                </c:pt>
                <c:pt idx="1">
                  <c:v>1.2711864406779658</c:v>
                </c:pt>
                <c:pt idx="2">
                  <c:v>1.9108280254777081</c:v>
                </c:pt>
                <c:pt idx="3">
                  <c:v>1.6366612111292935</c:v>
                </c:pt>
                <c:pt idx="4">
                  <c:v>11.111111111111079</c:v>
                </c:pt>
                <c:pt idx="5">
                  <c:v>0</c:v>
                </c:pt>
                <c:pt idx="6">
                  <c:v>2.0202020202020203</c:v>
                </c:pt>
                <c:pt idx="7">
                  <c:v>0</c:v>
                </c:pt>
                <c:pt idx="8">
                  <c:v>1.6949152542372881</c:v>
                </c:pt>
                <c:pt idx="9">
                  <c:v>3.3333333333333335</c:v>
                </c:pt>
                <c:pt idx="10">
                  <c:v>0</c:v>
                </c:pt>
                <c:pt idx="11">
                  <c:v>19.047619047619026</c:v>
                </c:pt>
                <c:pt idx="12">
                  <c:v>0</c:v>
                </c:pt>
                <c:pt idx="13">
                  <c:v>0.88495575221238965</c:v>
                </c:pt>
                <c:pt idx="14">
                  <c:v>0</c:v>
                </c:pt>
                <c:pt idx="15">
                  <c:v>0.76335877862595425</c:v>
                </c:pt>
                <c:pt idx="16">
                  <c:v>1.7297297297297298</c:v>
                </c:pt>
              </c:numCache>
            </c:numRef>
          </c:val>
        </c:ser>
        <c:dLbls>
          <c:showLegendKey val="0"/>
          <c:showVal val="0"/>
          <c:showCatName val="0"/>
          <c:showSerName val="0"/>
          <c:showPercent val="0"/>
          <c:showBubbleSize val="0"/>
        </c:dLbls>
        <c:gapWidth val="150"/>
        <c:overlap val="100"/>
        <c:axId val="226116240"/>
        <c:axId val="226110080"/>
      </c:barChart>
      <c:catAx>
        <c:axId val="226116240"/>
        <c:scaling>
          <c:orientation val="minMax"/>
        </c:scaling>
        <c:delete val="0"/>
        <c:axPos val="b"/>
        <c:numFmt formatCode="General" sourceLinked="0"/>
        <c:majorTickMark val="out"/>
        <c:minorTickMark val="none"/>
        <c:tickLblPos val="nextTo"/>
        <c:crossAx val="226110080"/>
        <c:crosses val="autoZero"/>
        <c:auto val="1"/>
        <c:lblAlgn val="ctr"/>
        <c:lblOffset val="100"/>
        <c:noMultiLvlLbl val="0"/>
      </c:catAx>
      <c:valAx>
        <c:axId val="226110080"/>
        <c:scaling>
          <c:orientation val="minMax"/>
          <c:max val="100"/>
        </c:scaling>
        <c:delete val="0"/>
        <c:axPos val="l"/>
        <c:majorGridlines/>
        <c:numFmt formatCode="0" sourceLinked="1"/>
        <c:majorTickMark val="out"/>
        <c:minorTickMark val="none"/>
        <c:tickLblPos val="nextTo"/>
        <c:crossAx val="226116240"/>
        <c:crosses val="autoZero"/>
        <c:crossBetween val="between"/>
      </c:valAx>
    </c:plotArea>
    <c:legend>
      <c:legendPos val="t"/>
      <c:layout>
        <c:manualLayout>
          <c:xMode val="edge"/>
          <c:yMode val="edge"/>
          <c:x val="0.31106846019247747"/>
          <c:y val="0"/>
          <c:w val="0.35841863517060518"/>
          <c:h val="7.908756197142048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57633420822398"/>
          <c:y val="0.10271033829104691"/>
          <c:w val="0.83886811023622043"/>
          <c:h val="0.58052201808107318"/>
        </c:manualLayout>
      </c:layout>
      <c:barChart>
        <c:barDir val="col"/>
        <c:grouping val="stacked"/>
        <c:varyColors val="0"/>
        <c:ser>
          <c:idx val="0"/>
          <c:order val="0"/>
          <c:tx>
            <c:strRef>
              <c:f>'Tableau 5.1 &amp; 5.2'!$BP$22</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5.2'!$BP$23:$BP$30</c:f>
              <c:numCache>
                <c:formatCode>0</c:formatCode>
                <c:ptCount val="8"/>
                <c:pt idx="0">
                  <c:v>80</c:v>
                </c:pt>
                <c:pt idx="1">
                  <c:v>87.704918032786594</c:v>
                </c:pt>
                <c:pt idx="2">
                  <c:v>91.25</c:v>
                </c:pt>
                <c:pt idx="3">
                  <c:v>88.834951456310677</c:v>
                </c:pt>
                <c:pt idx="4">
                  <c:v>90.44585987261145</c:v>
                </c:pt>
                <c:pt idx="5">
                  <c:v>76.923076923076849</c:v>
                </c:pt>
                <c:pt idx="6">
                  <c:v>73.07692307692308</c:v>
                </c:pt>
                <c:pt idx="7">
                  <c:v>86.702702702702425</c:v>
                </c:pt>
              </c:numCache>
            </c:numRef>
          </c:val>
        </c:ser>
        <c:ser>
          <c:idx val="1"/>
          <c:order val="1"/>
          <c:tx>
            <c:strRef>
              <c:f>'Tableau 5.1 &amp; 5.2'!$BQ$22</c:f>
              <c:strCache>
                <c:ptCount val="1"/>
                <c:pt idx="0">
                  <c:v>Non</c:v>
                </c:pt>
              </c:strCache>
            </c:strRef>
          </c:tx>
          <c:invertIfNegative val="0"/>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5.2'!$BQ$23:$BQ$30</c:f>
              <c:numCache>
                <c:formatCode>0</c:formatCode>
                <c:ptCount val="8"/>
                <c:pt idx="0">
                  <c:v>20</c:v>
                </c:pt>
                <c:pt idx="1">
                  <c:v>11.475409836065626</c:v>
                </c:pt>
                <c:pt idx="2">
                  <c:v>6.666666666666667</c:v>
                </c:pt>
                <c:pt idx="3">
                  <c:v>9.7087378640776691</c:v>
                </c:pt>
                <c:pt idx="4">
                  <c:v>7.0063694267516041</c:v>
                </c:pt>
                <c:pt idx="5">
                  <c:v>21.367521367521313</c:v>
                </c:pt>
                <c:pt idx="6">
                  <c:v>25.641025641025642</c:v>
                </c:pt>
                <c:pt idx="7">
                  <c:v>11.56756756756757</c:v>
                </c:pt>
              </c:numCache>
            </c:numRef>
          </c:val>
        </c:ser>
        <c:ser>
          <c:idx val="2"/>
          <c:order val="2"/>
          <c:tx>
            <c:strRef>
              <c:f>'Tableau 5.1 &amp; 5.2'!$BR$22</c:f>
              <c:strCache>
                <c:ptCount val="1"/>
                <c:pt idx="0">
                  <c:v>Non déclaré</c:v>
                </c:pt>
              </c:strCache>
            </c:strRef>
          </c:tx>
          <c:invertIfNegative val="0"/>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5.2'!$BR$23:$BR$30</c:f>
              <c:numCache>
                <c:formatCode>0</c:formatCode>
                <c:ptCount val="8"/>
                <c:pt idx="0">
                  <c:v>0</c:v>
                </c:pt>
                <c:pt idx="1">
                  <c:v>0.81967213114754101</c:v>
                </c:pt>
                <c:pt idx="2">
                  <c:v>2.0833333333333388</c:v>
                </c:pt>
                <c:pt idx="3">
                  <c:v>1.4563106796116505</c:v>
                </c:pt>
                <c:pt idx="4">
                  <c:v>2.5477707006369523</c:v>
                </c:pt>
                <c:pt idx="5">
                  <c:v>1.7094017094017093</c:v>
                </c:pt>
                <c:pt idx="6">
                  <c:v>1.2820512820512822</c:v>
                </c:pt>
                <c:pt idx="7">
                  <c:v>1.7297297297297298</c:v>
                </c:pt>
              </c:numCache>
            </c:numRef>
          </c:val>
        </c:ser>
        <c:dLbls>
          <c:showLegendKey val="0"/>
          <c:showVal val="0"/>
          <c:showCatName val="0"/>
          <c:showSerName val="0"/>
          <c:showPercent val="0"/>
          <c:showBubbleSize val="0"/>
        </c:dLbls>
        <c:gapWidth val="150"/>
        <c:overlap val="100"/>
        <c:axId val="291038720"/>
        <c:axId val="291042080"/>
      </c:barChart>
      <c:catAx>
        <c:axId val="291038720"/>
        <c:scaling>
          <c:orientation val="minMax"/>
        </c:scaling>
        <c:delete val="0"/>
        <c:axPos val="b"/>
        <c:numFmt formatCode="General" sourceLinked="0"/>
        <c:majorTickMark val="out"/>
        <c:minorTickMark val="none"/>
        <c:tickLblPos val="nextTo"/>
        <c:crossAx val="291042080"/>
        <c:crosses val="autoZero"/>
        <c:auto val="1"/>
        <c:lblAlgn val="ctr"/>
        <c:lblOffset val="100"/>
        <c:noMultiLvlLbl val="0"/>
      </c:catAx>
      <c:valAx>
        <c:axId val="291042080"/>
        <c:scaling>
          <c:orientation val="minMax"/>
          <c:max val="100"/>
        </c:scaling>
        <c:delete val="0"/>
        <c:axPos val="l"/>
        <c:majorGridlines/>
        <c:numFmt formatCode="0" sourceLinked="1"/>
        <c:majorTickMark val="out"/>
        <c:minorTickMark val="none"/>
        <c:tickLblPos val="nextTo"/>
        <c:crossAx val="291038720"/>
        <c:crosses val="autoZero"/>
        <c:crossBetween val="between"/>
      </c:valAx>
    </c:plotArea>
    <c:legend>
      <c:legendPos val="t"/>
      <c:layout>
        <c:manualLayout>
          <c:xMode val="edge"/>
          <c:yMode val="edge"/>
          <c:x val="0.31106846019247747"/>
          <c:y val="1.8518518518518559E-2"/>
          <c:w val="0.3778630796150495"/>
          <c:h val="6.519867308253153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2122885680956545"/>
          <c:w val="0.86235870516185453"/>
          <c:h val="0.72051509186351703"/>
        </c:manualLayout>
      </c:layout>
      <c:barChart>
        <c:barDir val="col"/>
        <c:grouping val="stacked"/>
        <c:varyColors val="0"/>
        <c:ser>
          <c:idx val="0"/>
          <c:order val="0"/>
          <c:tx>
            <c:strRef>
              <c:f>'Tableau 5.1 &amp; 5.2'!$W$3</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5.2'!$X$3:$AA$3</c:f>
              <c:numCache>
                <c:formatCode>0.0</c:formatCode>
                <c:ptCount val="4"/>
                <c:pt idx="0">
                  <c:v>71.959999999999994</c:v>
                </c:pt>
                <c:pt idx="1">
                  <c:v>40.190000000000012</c:v>
                </c:pt>
                <c:pt idx="2">
                  <c:v>18.690000000000001</c:v>
                </c:pt>
                <c:pt idx="3">
                  <c:v>28.97</c:v>
                </c:pt>
              </c:numCache>
            </c:numRef>
          </c:val>
        </c:ser>
        <c:ser>
          <c:idx val="1"/>
          <c:order val="1"/>
          <c:tx>
            <c:strRef>
              <c:f>'Tableau 5.1 &amp; 5.2'!$W$4</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5.2'!$X$4:$AA$4</c:f>
              <c:numCache>
                <c:formatCode>0.0</c:formatCode>
                <c:ptCount val="4"/>
                <c:pt idx="0">
                  <c:v>25.23</c:v>
                </c:pt>
                <c:pt idx="1">
                  <c:v>58.88</c:v>
                </c:pt>
                <c:pt idx="2">
                  <c:v>78.5</c:v>
                </c:pt>
                <c:pt idx="3">
                  <c:v>68.22</c:v>
                </c:pt>
              </c:numCache>
            </c:numRef>
          </c:val>
        </c:ser>
        <c:ser>
          <c:idx val="2"/>
          <c:order val="2"/>
          <c:tx>
            <c:strRef>
              <c:f>'Tableau 5.1 &amp; 5.2'!$W$5</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5.2'!$X$5:$AA$5</c:f>
              <c:numCache>
                <c:formatCode>0.0</c:formatCode>
                <c:ptCount val="4"/>
                <c:pt idx="0">
                  <c:v>2.8</c:v>
                </c:pt>
                <c:pt idx="1">
                  <c:v>0.93</c:v>
                </c:pt>
                <c:pt idx="2">
                  <c:v>2.8</c:v>
                </c:pt>
                <c:pt idx="3">
                  <c:v>2.8</c:v>
                </c:pt>
              </c:numCache>
            </c:numRef>
          </c:val>
        </c:ser>
        <c:dLbls>
          <c:showLegendKey val="0"/>
          <c:showVal val="0"/>
          <c:showCatName val="0"/>
          <c:showSerName val="0"/>
          <c:showPercent val="0"/>
          <c:showBubbleSize val="0"/>
        </c:dLbls>
        <c:gapWidth val="150"/>
        <c:overlap val="100"/>
        <c:axId val="1649632"/>
        <c:axId val="326462256"/>
      </c:barChart>
      <c:catAx>
        <c:axId val="1649632"/>
        <c:scaling>
          <c:orientation val="minMax"/>
        </c:scaling>
        <c:delete val="0"/>
        <c:axPos val="b"/>
        <c:numFmt formatCode="General" sourceLinked="0"/>
        <c:majorTickMark val="out"/>
        <c:minorTickMark val="none"/>
        <c:tickLblPos val="nextTo"/>
        <c:txPr>
          <a:bodyPr/>
          <a:lstStyle/>
          <a:p>
            <a:pPr>
              <a:defRPr sz="900"/>
            </a:pPr>
            <a:endParaRPr lang="fr-FR"/>
          </a:p>
        </c:txPr>
        <c:crossAx val="326462256"/>
        <c:crosses val="autoZero"/>
        <c:auto val="1"/>
        <c:lblAlgn val="ctr"/>
        <c:lblOffset val="100"/>
        <c:noMultiLvlLbl val="0"/>
      </c:catAx>
      <c:valAx>
        <c:axId val="326462256"/>
        <c:scaling>
          <c:orientation val="minMax"/>
          <c:max val="100"/>
        </c:scaling>
        <c:delete val="0"/>
        <c:axPos val="l"/>
        <c:majorGridlines/>
        <c:numFmt formatCode="0.0" sourceLinked="1"/>
        <c:majorTickMark val="out"/>
        <c:minorTickMark val="none"/>
        <c:tickLblPos val="nextTo"/>
        <c:crossAx val="1649632"/>
        <c:crosses val="autoZero"/>
        <c:crossBetween val="between"/>
        <c:majorUnit val="20"/>
      </c:valAx>
    </c:plotArea>
    <c:legend>
      <c:legendPos val="t"/>
      <c:layout>
        <c:manualLayout>
          <c:xMode val="edge"/>
          <c:yMode val="edge"/>
          <c:x val="0.31106846019247747"/>
          <c:y val="9.2592592592593073E-3"/>
          <c:w val="0.3778630796150495"/>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8.8821449402158067E-2"/>
          <c:w val="0.87902537182852314"/>
          <c:h val="0.70206583552056134"/>
        </c:manualLayout>
      </c:layout>
      <c:barChart>
        <c:barDir val="col"/>
        <c:grouping val="stacked"/>
        <c:varyColors val="0"/>
        <c:ser>
          <c:idx val="0"/>
          <c:order val="0"/>
          <c:tx>
            <c:strRef>
              <c:f>'Tableau 5.1 &amp; 5.2'!$G$16</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5.2'!$H$16:$M$16</c:f>
              <c:numCache>
                <c:formatCode>0.0</c:formatCode>
                <c:ptCount val="6"/>
                <c:pt idx="0">
                  <c:v>98.38</c:v>
                </c:pt>
                <c:pt idx="1">
                  <c:v>86.03</c:v>
                </c:pt>
                <c:pt idx="2">
                  <c:v>91.27</c:v>
                </c:pt>
                <c:pt idx="3">
                  <c:v>94.26</c:v>
                </c:pt>
                <c:pt idx="4">
                  <c:v>80.3</c:v>
                </c:pt>
                <c:pt idx="5">
                  <c:v>6.1099999999999985</c:v>
                </c:pt>
              </c:numCache>
            </c:numRef>
          </c:val>
        </c:ser>
        <c:ser>
          <c:idx val="1"/>
          <c:order val="1"/>
          <c:tx>
            <c:strRef>
              <c:f>'Tableau 5.1 &amp; 5.2'!$G$17</c:f>
              <c:strCache>
                <c:ptCount val="1"/>
                <c:pt idx="0">
                  <c:v>Non</c:v>
                </c:pt>
              </c:strCache>
            </c:strRef>
          </c:tx>
          <c:invertIfNegative val="0"/>
          <c:dLbls>
            <c:dLbl>
              <c:idx val="0"/>
              <c:layout>
                <c:manualLayout>
                  <c:x val="0"/>
                  <c:y val="-4.6296296296296328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0925337632080489E-17"/>
                  <c:y val="4.6296296296296441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9.2592592592593073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5.2'!$H$17:$M$17</c:f>
              <c:numCache>
                <c:formatCode>0.0</c:formatCode>
                <c:ptCount val="6"/>
                <c:pt idx="0">
                  <c:v>1.62</c:v>
                </c:pt>
                <c:pt idx="1">
                  <c:v>13.47</c:v>
                </c:pt>
                <c:pt idx="2">
                  <c:v>8.48</c:v>
                </c:pt>
                <c:pt idx="3">
                  <c:v>5.24</c:v>
                </c:pt>
                <c:pt idx="4">
                  <c:v>8.23</c:v>
                </c:pt>
                <c:pt idx="5">
                  <c:v>85.910000000000025</c:v>
                </c:pt>
              </c:numCache>
            </c:numRef>
          </c:val>
        </c:ser>
        <c:ser>
          <c:idx val="2"/>
          <c:order val="2"/>
          <c:tx>
            <c:strRef>
              <c:f>'Tableau 5.1 &amp; 5.2'!$G$18</c:f>
              <c:strCache>
                <c:ptCount val="1"/>
                <c:pt idx="0">
                  <c:v>Non déclaré</c:v>
                </c:pt>
              </c:strCache>
            </c:strRef>
          </c:tx>
          <c:invertIfNegative val="0"/>
          <c:dLbls>
            <c:dLbl>
              <c:idx val="0"/>
              <c:delete val="1"/>
              <c:extLst>
                <c:ext xmlns:c15="http://schemas.microsoft.com/office/drawing/2012/chart" uri="{CE6537A1-D6FC-4f65-9D91-7224C49458BB}"/>
              </c:extLst>
            </c:dLbl>
            <c:dLbl>
              <c:idx val="1"/>
              <c:layout>
                <c:manualLayout>
                  <c:x val="0"/>
                  <c:y val="-1.388888888888893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0925337632080489E-17"/>
                  <c:y val="-1.3888888888888935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1.388888888888893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5.2'!$H$18:$M$18</c:f>
              <c:numCache>
                <c:formatCode>0.0</c:formatCode>
                <c:ptCount val="6"/>
                <c:pt idx="0">
                  <c:v>0</c:v>
                </c:pt>
                <c:pt idx="1">
                  <c:v>0.5</c:v>
                </c:pt>
                <c:pt idx="2">
                  <c:v>0.25</c:v>
                </c:pt>
                <c:pt idx="3">
                  <c:v>0.5</c:v>
                </c:pt>
                <c:pt idx="4">
                  <c:v>11.47</c:v>
                </c:pt>
                <c:pt idx="5">
                  <c:v>7.98</c:v>
                </c:pt>
              </c:numCache>
            </c:numRef>
          </c:val>
        </c:ser>
        <c:dLbls>
          <c:showLegendKey val="0"/>
          <c:showVal val="0"/>
          <c:showCatName val="0"/>
          <c:showSerName val="0"/>
          <c:showPercent val="0"/>
          <c:showBubbleSize val="0"/>
        </c:dLbls>
        <c:gapWidth val="150"/>
        <c:overlap val="100"/>
        <c:axId val="387538768"/>
        <c:axId val="387539328"/>
      </c:barChart>
      <c:catAx>
        <c:axId val="387538768"/>
        <c:scaling>
          <c:orientation val="minMax"/>
        </c:scaling>
        <c:delete val="0"/>
        <c:axPos val="b"/>
        <c:numFmt formatCode="General" sourceLinked="0"/>
        <c:majorTickMark val="out"/>
        <c:minorTickMark val="none"/>
        <c:tickLblPos val="nextTo"/>
        <c:txPr>
          <a:bodyPr/>
          <a:lstStyle/>
          <a:p>
            <a:pPr>
              <a:defRPr sz="900"/>
            </a:pPr>
            <a:endParaRPr lang="fr-FR"/>
          </a:p>
        </c:txPr>
        <c:crossAx val="387539328"/>
        <c:crosses val="autoZero"/>
        <c:auto val="1"/>
        <c:lblAlgn val="ctr"/>
        <c:lblOffset val="100"/>
        <c:noMultiLvlLbl val="0"/>
      </c:catAx>
      <c:valAx>
        <c:axId val="387539328"/>
        <c:scaling>
          <c:orientation val="minMax"/>
          <c:max val="100"/>
        </c:scaling>
        <c:delete val="0"/>
        <c:axPos val="l"/>
        <c:majorGridlines/>
        <c:numFmt formatCode="0.0" sourceLinked="1"/>
        <c:majorTickMark val="out"/>
        <c:minorTickMark val="none"/>
        <c:tickLblPos val="nextTo"/>
        <c:crossAx val="387538768"/>
        <c:crosses val="autoZero"/>
        <c:crossBetween val="between"/>
        <c:majorUnit val="20"/>
      </c:valAx>
    </c:plotArea>
    <c:legend>
      <c:legendPos val="t"/>
      <c:layout>
        <c:manualLayout>
          <c:xMode val="edge"/>
          <c:yMode val="edge"/>
          <c:x val="0.31106846019247747"/>
          <c:y val="0"/>
          <c:w val="0.3778630796150495"/>
          <c:h val="8.371719160105002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'1.41. Caractéristiques Habitats'!$A$6:$A$11</c:f>
              <c:strCache>
                <c:ptCount val="6"/>
                <c:pt idx="0">
                  <c:v>Maison isolée</c:v>
                </c:pt>
                <c:pt idx="1">
                  <c:v>Maison individuelle ou villa</c:v>
                </c:pt>
                <c:pt idx="2">
                  <c:v>Immeuble (maison à étage)</c:v>
                </c:pt>
                <c:pt idx="3">
                  <c:v>Maison en bandes (compartimentée)</c:v>
                </c:pt>
                <c:pt idx="4">
                  <c:v>Case isolée (habitat traditionnel)</c:v>
                </c:pt>
                <c:pt idx="5">
                  <c:v>Autre</c:v>
                </c:pt>
              </c:strCache>
            </c:strRef>
          </c:cat>
          <c:val>
            <c:numRef>
              <c:f>'1.41. Caractéristiques Habitats'!$B$6:$B$11</c:f>
              <c:numCache>
                <c:formatCode>0.0</c:formatCode>
                <c:ptCount val="6"/>
                <c:pt idx="0">
                  <c:v>28.34</c:v>
                </c:pt>
                <c:pt idx="1">
                  <c:v>20.29</c:v>
                </c:pt>
                <c:pt idx="2">
                  <c:v>1.78</c:v>
                </c:pt>
                <c:pt idx="3">
                  <c:v>40.39</c:v>
                </c:pt>
                <c:pt idx="4">
                  <c:v>8.120000000000001</c:v>
                </c:pt>
                <c:pt idx="5">
                  <c:v>1.08</c:v>
                </c:pt>
              </c:numCache>
            </c:numRef>
          </c:val>
        </c:ser>
        <c:dLbls>
          <c:showLegendKey val="0"/>
          <c:showVal val="0"/>
          <c:showCatName val="0"/>
          <c:showSerName val="0"/>
          <c:showPercent val="0"/>
          <c:showBubbleSize val="0"/>
        </c:dLbls>
        <c:gapWidth val="150"/>
        <c:axId val="291384704"/>
        <c:axId val="291385264"/>
      </c:barChart>
      <c:catAx>
        <c:axId val="291384704"/>
        <c:scaling>
          <c:orientation val="minMax"/>
        </c:scaling>
        <c:delete val="0"/>
        <c:axPos val="l"/>
        <c:numFmt formatCode="General" sourceLinked="0"/>
        <c:majorTickMark val="none"/>
        <c:minorTickMark val="none"/>
        <c:tickLblPos val="nextTo"/>
        <c:txPr>
          <a:bodyPr/>
          <a:lstStyle/>
          <a:p>
            <a:pPr>
              <a:defRPr sz="1100"/>
            </a:pPr>
            <a:endParaRPr lang="fr-FR"/>
          </a:p>
        </c:txPr>
        <c:crossAx val="291385264"/>
        <c:crosses val="autoZero"/>
        <c:auto val="1"/>
        <c:lblAlgn val="ctr"/>
        <c:lblOffset val="100"/>
        <c:noMultiLvlLbl val="0"/>
      </c:catAx>
      <c:valAx>
        <c:axId val="291385264"/>
        <c:scaling>
          <c:orientation val="minMax"/>
        </c:scaling>
        <c:delete val="0"/>
        <c:axPos val="b"/>
        <c:title>
          <c:tx>
            <c:rich>
              <a:bodyPr/>
              <a:lstStyle/>
              <a:p>
                <a:pPr>
                  <a:defRPr b="0"/>
                </a:pPr>
                <a:r>
                  <a:rPr lang="fr-FR" b="0"/>
                  <a:t>Pourcentage de ménages</a:t>
                </a:r>
              </a:p>
            </c:rich>
          </c:tx>
          <c:overlay val="0"/>
        </c:title>
        <c:numFmt formatCode="0.0" sourceLinked="1"/>
        <c:majorTickMark val="out"/>
        <c:minorTickMark val="none"/>
        <c:tickLblPos val="nextTo"/>
        <c:crossAx val="291384704"/>
        <c:crosses val="autoZero"/>
        <c:crossBetween val="between"/>
      </c:valAx>
    </c:plotArea>
    <c:plotVisOnly val="1"/>
    <c:dispBlanksAs val="gap"/>
    <c:showDLblsOverMax val="0"/>
  </c:chart>
  <c:spPr>
    <a:solidFill>
      <a:schemeClr val="accent6">
        <a:lumMod val="20000"/>
        <a:lumOff val="80000"/>
      </a:schemeClr>
    </a:solidFill>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0271033829104691"/>
          <c:w val="0.86235870516185453"/>
          <c:h val="0.73774460484106164"/>
        </c:manualLayout>
      </c:layout>
      <c:barChart>
        <c:barDir val="col"/>
        <c:grouping val="stacked"/>
        <c:varyColors val="0"/>
        <c:ser>
          <c:idx val="0"/>
          <c:order val="0"/>
          <c:tx>
            <c:strRef>
              <c:f>'Tableau 5.1 &amp; 5.2'!$AG$10</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5.2'!$AH$10:$AK$10</c:f>
              <c:numCache>
                <c:formatCode>0.0</c:formatCode>
                <c:ptCount val="4"/>
                <c:pt idx="0">
                  <c:v>74.19</c:v>
                </c:pt>
                <c:pt idx="1">
                  <c:v>54.84</c:v>
                </c:pt>
                <c:pt idx="2">
                  <c:v>29.03</c:v>
                </c:pt>
                <c:pt idx="3">
                  <c:v>8.06</c:v>
                </c:pt>
              </c:numCache>
            </c:numRef>
          </c:val>
        </c:ser>
        <c:ser>
          <c:idx val="1"/>
          <c:order val="1"/>
          <c:tx>
            <c:strRef>
              <c:f>'Tableau 5.1 &amp; 5.2'!$AG$11</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5.2'!$AH$11:$AK$11</c:f>
              <c:numCache>
                <c:formatCode>0.0</c:formatCode>
                <c:ptCount val="4"/>
                <c:pt idx="0">
                  <c:v>24.19</c:v>
                </c:pt>
                <c:pt idx="1">
                  <c:v>45.160000000000011</c:v>
                </c:pt>
                <c:pt idx="2">
                  <c:v>69.349999999999994</c:v>
                </c:pt>
                <c:pt idx="3">
                  <c:v>91.940000000000026</c:v>
                </c:pt>
              </c:numCache>
            </c:numRef>
          </c:val>
        </c:ser>
        <c:ser>
          <c:idx val="2"/>
          <c:order val="2"/>
          <c:tx>
            <c:strRef>
              <c:f>'Tableau 5.1 &amp; 5.2'!$AG$12</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5.2'!$AH$12:$AK$12</c:f>
              <c:numCache>
                <c:formatCode>0.0</c:formatCode>
                <c:ptCount val="4"/>
                <c:pt idx="0">
                  <c:v>1.61</c:v>
                </c:pt>
                <c:pt idx="1">
                  <c:v>0</c:v>
                </c:pt>
                <c:pt idx="2">
                  <c:v>1.61</c:v>
                </c:pt>
                <c:pt idx="3">
                  <c:v>0</c:v>
                </c:pt>
              </c:numCache>
            </c:numRef>
          </c:val>
        </c:ser>
        <c:dLbls>
          <c:showLegendKey val="0"/>
          <c:showVal val="0"/>
          <c:showCatName val="0"/>
          <c:showSerName val="0"/>
          <c:showPercent val="0"/>
          <c:showBubbleSize val="0"/>
        </c:dLbls>
        <c:gapWidth val="150"/>
        <c:overlap val="100"/>
        <c:axId val="387542688"/>
        <c:axId val="387543248"/>
      </c:barChart>
      <c:catAx>
        <c:axId val="387542688"/>
        <c:scaling>
          <c:orientation val="minMax"/>
        </c:scaling>
        <c:delete val="0"/>
        <c:axPos val="b"/>
        <c:numFmt formatCode="General" sourceLinked="0"/>
        <c:majorTickMark val="out"/>
        <c:minorTickMark val="none"/>
        <c:tickLblPos val="nextTo"/>
        <c:txPr>
          <a:bodyPr/>
          <a:lstStyle/>
          <a:p>
            <a:pPr>
              <a:defRPr sz="900"/>
            </a:pPr>
            <a:endParaRPr lang="fr-FR"/>
          </a:p>
        </c:txPr>
        <c:crossAx val="387543248"/>
        <c:crosses val="autoZero"/>
        <c:auto val="1"/>
        <c:lblAlgn val="ctr"/>
        <c:lblOffset val="100"/>
        <c:noMultiLvlLbl val="0"/>
      </c:catAx>
      <c:valAx>
        <c:axId val="387543248"/>
        <c:scaling>
          <c:orientation val="minMax"/>
          <c:max val="100"/>
        </c:scaling>
        <c:delete val="0"/>
        <c:axPos val="l"/>
        <c:majorGridlines/>
        <c:numFmt formatCode="0.0" sourceLinked="1"/>
        <c:majorTickMark val="out"/>
        <c:minorTickMark val="none"/>
        <c:tickLblPos val="nextTo"/>
        <c:crossAx val="387542688"/>
        <c:crosses val="autoZero"/>
        <c:crossBetween val="between"/>
        <c:majorUnit val="20"/>
      </c:valAx>
    </c:plotArea>
    <c:legend>
      <c:legendPos val="t"/>
      <c:layout>
        <c:manualLayout>
          <c:xMode val="edge"/>
          <c:yMode val="edge"/>
          <c:x val="0.31106846019247747"/>
          <c:y val="1.8518518518518559E-2"/>
          <c:w val="0.3778630796150495"/>
          <c:h val="6.519867308253153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0733996792067656"/>
          <c:w val="0.86235870516185453"/>
          <c:h val="0.72017534266550265"/>
        </c:manualLayout>
      </c:layout>
      <c:barChart>
        <c:barDir val="col"/>
        <c:grouping val="stacked"/>
        <c:varyColors val="0"/>
        <c:ser>
          <c:idx val="0"/>
          <c:order val="0"/>
          <c:tx>
            <c:strRef>
              <c:f>'Tableau 5.1 &amp; 5.2'!$AQ$10</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5.2'!$AR$9:$AT$9</c:f>
              <c:strCache>
                <c:ptCount val="3"/>
                <c:pt idx="0">
                  <c:v>Trop cher</c:v>
                </c:pt>
                <c:pt idx="1">
                  <c:v>Pas besoin de se raccorder</c:v>
                </c:pt>
                <c:pt idx="2">
                  <c:v>Autres raison à préciser?</c:v>
                </c:pt>
              </c:strCache>
            </c:strRef>
          </c:cat>
          <c:val>
            <c:numRef>
              <c:f>'Tableau 5.1 &amp; 5.2'!$AR$10:$AT$10</c:f>
              <c:numCache>
                <c:formatCode>0.0</c:formatCode>
                <c:ptCount val="3"/>
                <c:pt idx="0">
                  <c:v>95.47</c:v>
                </c:pt>
                <c:pt idx="1">
                  <c:v>18.77</c:v>
                </c:pt>
                <c:pt idx="2">
                  <c:v>13.27</c:v>
                </c:pt>
              </c:numCache>
            </c:numRef>
          </c:val>
        </c:ser>
        <c:ser>
          <c:idx val="1"/>
          <c:order val="1"/>
          <c:tx>
            <c:strRef>
              <c:f>'Tableau 5.1 &amp; 5.2'!$AQ$11</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5.2'!$AR$9:$AT$9</c:f>
              <c:strCache>
                <c:ptCount val="3"/>
                <c:pt idx="0">
                  <c:v>Trop cher</c:v>
                </c:pt>
                <c:pt idx="1">
                  <c:v>Pas besoin de se raccorder</c:v>
                </c:pt>
                <c:pt idx="2">
                  <c:v>Autres raison à préciser?</c:v>
                </c:pt>
              </c:strCache>
            </c:strRef>
          </c:cat>
          <c:val>
            <c:numRef>
              <c:f>'Tableau 5.1 &amp; 5.2'!$AR$11:$AT$11</c:f>
              <c:numCache>
                <c:formatCode>0.0</c:formatCode>
                <c:ptCount val="3"/>
                <c:pt idx="0">
                  <c:v>4.53</c:v>
                </c:pt>
                <c:pt idx="1">
                  <c:v>78.319999999999993</c:v>
                </c:pt>
                <c:pt idx="2">
                  <c:v>83.82</c:v>
                </c:pt>
              </c:numCache>
            </c:numRef>
          </c:val>
        </c:ser>
        <c:ser>
          <c:idx val="2"/>
          <c:order val="2"/>
          <c:tx>
            <c:strRef>
              <c:f>'Tableau 5.1 &amp; 5.2'!$AQ$12</c:f>
              <c:strCache>
                <c:ptCount val="1"/>
                <c:pt idx="0">
                  <c:v>Non déclaré</c:v>
                </c:pt>
              </c:strCache>
            </c:strRef>
          </c:tx>
          <c:invertIfNegative val="0"/>
          <c:dLbls>
            <c:dLbl>
              <c:idx val="0"/>
              <c:delete val="1"/>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5.2'!$AR$9:$AT$9</c:f>
              <c:strCache>
                <c:ptCount val="3"/>
                <c:pt idx="0">
                  <c:v>Trop cher</c:v>
                </c:pt>
                <c:pt idx="1">
                  <c:v>Pas besoin de se raccorder</c:v>
                </c:pt>
                <c:pt idx="2">
                  <c:v>Autres raison à préciser?</c:v>
                </c:pt>
              </c:strCache>
            </c:strRef>
          </c:cat>
          <c:val>
            <c:numRef>
              <c:f>'Tableau 5.1 &amp; 5.2'!$AR$12:$AT$12</c:f>
              <c:numCache>
                <c:formatCode>0.0</c:formatCode>
                <c:ptCount val="3"/>
                <c:pt idx="0">
                  <c:v>0</c:v>
                </c:pt>
                <c:pt idx="1">
                  <c:v>2.9099999999999997</c:v>
                </c:pt>
                <c:pt idx="2">
                  <c:v>2.9099999999999997</c:v>
                </c:pt>
              </c:numCache>
            </c:numRef>
          </c:val>
        </c:ser>
        <c:dLbls>
          <c:showLegendKey val="0"/>
          <c:showVal val="0"/>
          <c:showCatName val="0"/>
          <c:showSerName val="0"/>
          <c:showPercent val="0"/>
          <c:showBubbleSize val="0"/>
        </c:dLbls>
        <c:gapWidth val="150"/>
        <c:overlap val="100"/>
        <c:axId val="387546608"/>
        <c:axId val="387547168"/>
      </c:barChart>
      <c:catAx>
        <c:axId val="387546608"/>
        <c:scaling>
          <c:orientation val="minMax"/>
        </c:scaling>
        <c:delete val="0"/>
        <c:axPos val="b"/>
        <c:numFmt formatCode="General" sourceLinked="0"/>
        <c:majorTickMark val="out"/>
        <c:minorTickMark val="none"/>
        <c:tickLblPos val="nextTo"/>
        <c:txPr>
          <a:bodyPr/>
          <a:lstStyle/>
          <a:p>
            <a:pPr>
              <a:defRPr sz="1000"/>
            </a:pPr>
            <a:endParaRPr lang="fr-FR"/>
          </a:p>
        </c:txPr>
        <c:crossAx val="387547168"/>
        <c:crosses val="autoZero"/>
        <c:auto val="1"/>
        <c:lblAlgn val="ctr"/>
        <c:lblOffset val="100"/>
        <c:noMultiLvlLbl val="0"/>
      </c:catAx>
      <c:valAx>
        <c:axId val="387547168"/>
        <c:scaling>
          <c:orientation val="minMax"/>
          <c:max val="100"/>
        </c:scaling>
        <c:delete val="0"/>
        <c:axPos val="l"/>
        <c:majorGridlines/>
        <c:numFmt formatCode="0.0" sourceLinked="1"/>
        <c:majorTickMark val="out"/>
        <c:minorTickMark val="none"/>
        <c:tickLblPos val="nextTo"/>
        <c:crossAx val="387546608"/>
        <c:crosses val="autoZero"/>
        <c:crossBetween val="between"/>
        <c:majorUnit val="20"/>
      </c:valAx>
    </c:plotArea>
    <c:legend>
      <c:legendPos val="t"/>
      <c:layout>
        <c:manualLayout>
          <c:xMode val="edge"/>
          <c:yMode val="edge"/>
          <c:x val="0.31106846019247747"/>
          <c:y val="1.3888888888888935E-2"/>
          <c:w val="0.3778630796150495"/>
          <c:h val="6.9828302712160978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034951881014839"/>
          <c:y val="5.1400554097404488E-2"/>
          <c:w val="0.61271959755030803"/>
          <c:h val="0.8326195683872849"/>
        </c:manualLayout>
      </c:layout>
      <c:barChart>
        <c:barDir val="col"/>
        <c:grouping val="clustered"/>
        <c:varyColors val="0"/>
        <c:ser>
          <c:idx val="0"/>
          <c:order val="0"/>
          <c:tx>
            <c:strRef>
              <c:f>'Tableau 5.1 &amp; 5.2'!$BB$2</c:f>
              <c:strCache>
                <c:ptCount val="1"/>
                <c:pt idx="0">
                  <c:v>Montant moyen que les ménages situés dans des zones où il n'y a pas l'électricité sont disposés à payer par mois pour l'avoir (FCFA)</c:v>
                </c:pt>
              </c:strCache>
            </c:strRef>
          </c:tx>
          <c:invertIfNegative val="0"/>
          <c:dLbls>
            <c:dLbl>
              <c:idx val="0"/>
              <c:layout>
                <c:manualLayout>
                  <c:x val="-1.1111111111111125E-2"/>
                  <c:y val="9.259259259259307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7777777777777939E-3"/>
                  <c:y val="0"/>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333333333333367E-3"/>
                  <c:y val="1.388888888888893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5.2'!$BA$3:$BA$5</c:f>
              <c:strCache>
                <c:ptCount val="3"/>
                <c:pt idx="0">
                  <c:v>Urbain</c:v>
                </c:pt>
                <c:pt idx="1">
                  <c:v>Rural</c:v>
                </c:pt>
                <c:pt idx="2">
                  <c:v>Ensemble</c:v>
                </c:pt>
              </c:strCache>
            </c:strRef>
          </c:cat>
          <c:val>
            <c:numRef>
              <c:f>'Tableau 5.1 &amp; 5.2'!$BB$3:$BB$5</c:f>
              <c:numCache>
                <c:formatCode>0</c:formatCode>
                <c:ptCount val="3"/>
                <c:pt idx="0">
                  <c:v>12287.740000000014</c:v>
                </c:pt>
                <c:pt idx="1">
                  <c:v>9514.3629999999594</c:v>
                </c:pt>
                <c:pt idx="2">
                  <c:v>10334.73000000001</c:v>
                </c:pt>
              </c:numCache>
            </c:numRef>
          </c:val>
        </c:ser>
        <c:ser>
          <c:idx val="1"/>
          <c:order val="1"/>
          <c:tx>
            <c:strRef>
              <c:f>'Tableau 5.1 &amp; 5.2'!$BC$2</c:f>
              <c:strCache>
                <c:ptCount val="1"/>
                <c:pt idx="0">
                  <c:v>Montant WTP que les ménages situés dans des zones où il n'y a pas l'électricité sont disposés à payer par mois pour un service "parfait" de la SBEE (FCFA)</c:v>
                </c:pt>
              </c:strCache>
            </c:strRef>
          </c:tx>
          <c:invertIfNegative val="0"/>
          <c:dLbls>
            <c:dLbl>
              <c:idx val="0"/>
              <c:layout>
                <c:manualLayout>
                  <c:x val="5.5555555555555558E-3"/>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5555555555555558E-3"/>
                  <c:y val="9.2592592592593073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333333333333367E-3"/>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5.2'!$BA$3:$BA$5</c:f>
              <c:strCache>
                <c:ptCount val="3"/>
                <c:pt idx="0">
                  <c:v>Urbain</c:v>
                </c:pt>
                <c:pt idx="1">
                  <c:v>Rural</c:v>
                </c:pt>
                <c:pt idx="2">
                  <c:v>Ensemble</c:v>
                </c:pt>
              </c:strCache>
            </c:strRef>
          </c:cat>
          <c:val>
            <c:numRef>
              <c:f>'Tableau 5.1 &amp; 5.2'!$BC$3:$BC$5</c:f>
              <c:numCache>
                <c:formatCode>0</c:formatCode>
                <c:ptCount val="3"/>
                <c:pt idx="0">
                  <c:v>13653.68</c:v>
                </c:pt>
                <c:pt idx="1">
                  <c:v>10755.15</c:v>
                </c:pt>
                <c:pt idx="2">
                  <c:v>11612.54</c:v>
                </c:pt>
              </c:numCache>
            </c:numRef>
          </c:val>
        </c:ser>
        <c:dLbls>
          <c:showLegendKey val="0"/>
          <c:showVal val="0"/>
          <c:showCatName val="0"/>
          <c:showSerName val="0"/>
          <c:showPercent val="0"/>
          <c:showBubbleSize val="0"/>
        </c:dLbls>
        <c:gapWidth val="150"/>
        <c:axId val="387549968"/>
        <c:axId val="387550528"/>
      </c:barChart>
      <c:catAx>
        <c:axId val="387549968"/>
        <c:scaling>
          <c:orientation val="minMax"/>
        </c:scaling>
        <c:delete val="0"/>
        <c:axPos val="b"/>
        <c:numFmt formatCode="General" sourceLinked="0"/>
        <c:majorTickMark val="out"/>
        <c:minorTickMark val="none"/>
        <c:tickLblPos val="nextTo"/>
        <c:crossAx val="387550528"/>
        <c:crosses val="autoZero"/>
        <c:auto val="1"/>
        <c:lblAlgn val="ctr"/>
        <c:lblOffset val="100"/>
        <c:noMultiLvlLbl val="0"/>
      </c:catAx>
      <c:valAx>
        <c:axId val="387550528"/>
        <c:scaling>
          <c:orientation val="minMax"/>
          <c:max val="14000"/>
        </c:scaling>
        <c:delete val="0"/>
        <c:axPos val="l"/>
        <c:majorGridlines/>
        <c:numFmt formatCode="0" sourceLinked="1"/>
        <c:majorTickMark val="out"/>
        <c:minorTickMark val="none"/>
        <c:tickLblPos val="nextTo"/>
        <c:crossAx val="387549968"/>
        <c:crosses val="autoZero"/>
        <c:crossBetween val="between"/>
      </c:valAx>
    </c:plotArea>
    <c:legend>
      <c:legendPos val="r"/>
      <c:layout>
        <c:manualLayout>
          <c:xMode val="edge"/>
          <c:yMode val="edge"/>
          <c:x val="0.71656911636045495"/>
          <c:y val="3.4350029163021288E-2"/>
          <c:w val="0.26676421697287905"/>
          <c:h val="0.92204068241469994"/>
        </c:manualLayout>
      </c:layout>
      <c:overlay val="0"/>
      <c:txPr>
        <a:bodyPr/>
        <a:lstStyle/>
        <a:p>
          <a:pPr>
            <a:defRPr sz="1000">
              <a:latin typeface="+mn-lt"/>
            </a:defRPr>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900">
              <a:latin typeface="Trebuchet MS" pitchFamily="34" charset="0"/>
            </a:defRPr>
          </a:pPr>
          <a:endParaRPr lang="fr-FR"/>
        </a:p>
      </c:txPr>
    </c:title>
    <c:autoTitleDeleted val="0"/>
    <c:plotArea>
      <c:layout/>
      <c:barChart>
        <c:barDir val="col"/>
        <c:grouping val="clustered"/>
        <c:varyColors val="0"/>
        <c:ser>
          <c:idx val="0"/>
          <c:order val="0"/>
          <c:tx>
            <c:strRef>
              <c:f>Feuil5!$L$3</c:f>
              <c:strCache>
                <c:ptCount val="1"/>
                <c:pt idx="0">
                  <c:v>Montant moyen que les ménages non raccordés sont disposés à payer en moyenne pour un service "parfait" de la SBEE (FCFA)</c:v>
                </c:pt>
              </c:strCache>
            </c:strRef>
          </c:tx>
          <c:invertIfNegative val="0"/>
          <c:dPt>
            <c:idx val="0"/>
            <c:invertIfNegative val="0"/>
            <c:bubble3D val="0"/>
            <c:spPr>
              <a:solidFill>
                <a:schemeClr val="tx1">
                  <a:lumMod val="75000"/>
                  <a:lumOff val="25000"/>
                </a:schemeClr>
              </a:solidFill>
            </c:spPr>
          </c:dPt>
          <c:dPt>
            <c:idx val="1"/>
            <c:invertIfNegative val="0"/>
            <c:bubble3D val="0"/>
            <c:spPr>
              <a:solidFill>
                <a:schemeClr val="bg2">
                  <a:lumMod val="50000"/>
                </a:schemeClr>
              </a:solidFill>
            </c:spPr>
          </c:dPt>
          <c:dPt>
            <c:idx val="2"/>
            <c:invertIfNegative val="0"/>
            <c:bubble3D val="0"/>
            <c:spPr>
              <a:solidFill>
                <a:srgbClr val="FF0000"/>
              </a:solidFill>
            </c:spPr>
          </c:dPt>
          <c:dPt>
            <c:idx val="3"/>
            <c:invertIfNegative val="0"/>
            <c:bubble3D val="0"/>
            <c:spPr>
              <a:solidFill>
                <a:srgbClr val="00B050"/>
              </a:solidFill>
            </c:spPr>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Feuil5!$K$4:$K$8</c:f>
              <c:strCache>
                <c:ptCount val="5"/>
                <c:pt idx="0">
                  <c:v>Urbain</c:v>
                </c:pt>
                <c:pt idx="1">
                  <c:v>Rural</c:v>
                </c:pt>
                <c:pt idx="2">
                  <c:v>Masculin</c:v>
                </c:pt>
                <c:pt idx="3">
                  <c:v>Féminin</c:v>
                </c:pt>
                <c:pt idx="4">
                  <c:v>Ensemble</c:v>
                </c:pt>
              </c:strCache>
            </c:strRef>
          </c:cat>
          <c:val>
            <c:numRef>
              <c:f>Feuil5!$L$4:$L$8</c:f>
              <c:numCache>
                <c:formatCode>#,##0</c:formatCode>
                <c:ptCount val="5"/>
                <c:pt idx="0">
                  <c:v>8890.2990000000009</c:v>
                </c:pt>
                <c:pt idx="1">
                  <c:v>7281.6650000000054</c:v>
                </c:pt>
                <c:pt idx="2">
                  <c:v>8316.5280000000002</c:v>
                </c:pt>
                <c:pt idx="3">
                  <c:v>5435.6950000000024</c:v>
                </c:pt>
                <c:pt idx="4">
                  <c:v>7780.6860000000024</c:v>
                </c:pt>
              </c:numCache>
            </c:numRef>
          </c:val>
        </c:ser>
        <c:dLbls>
          <c:showLegendKey val="0"/>
          <c:showVal val="0"/>
          <c:showCatName val="0"/>
          <c:showSerName val="0"/>
          <c:showPercent val="0"/>
          <c:showBubbleSize val="0"/>
        </c:dLbls>
        <c:gapWidth val="150"/>
        <c:axId val="478685984"/>
        <c:axId val="478686544"/>
      </c:barChart>
      <c:catAx>
        <c:axId val="478685984"/>
        <c:scaling>
          <c:orientation val="minMax"/>
        </c:scaling>
        <c:delete val="0"/>
        <c:axPos val="b"/>
        <c:numFmt formatCode="General" sourceLinked="0"/>
        <c:majorTickMark val="out"/>
        <c:minorTickMark val="none"/>
        <c:tickLblPos val="nextTo"/>
        <c:crossAx val="478686544"/>
        <c:crosses val="autoZero"/>
        <c:auto val="1"/>
        <c:lblAlgn val="ctr"/>
        <c:lblOffset val="100"/>
        <c:noMultiLvlLbl val="0"/>
      </c:catAx>
      <c:valAx>
        <c:axId val="478686544"/>
        <c:scaling>
          <c:orientation val="minMax"/>
        </c:scaling>
        <c:delete val="0"/>
        <c:axPos val="l"/>
        <c:majorGridlines/>
        <c:numFmt formatCode="#,##0" sourceLinked="1"/>
        <c:majorTickMark val="out"/>
        <c:minorTickMark val="none"/>
        <c:tickLblPos val="nextTo"/>
        <c:crossAx val="478685984"/>
        <c:crosses val="autoZero"/>
        <c:crossBetween val="between"/>
      </c:valAx>
      <c:spPr>
        <a:solidFill>
          <a:schemeClr val="bg1"/>
        </a:solidFill>
      </c:spPr>
    </c:plotArea>
    <c:plotVisOnly val="1"/>
    <c:dispBlanksAs val="gap"/>
    <c:showDLblsOverMax val="0"/>
  </c:chart>
  <c:spPr>
    <a:solidFill>
      <a:schemeClr val="accent5">
        <a:lumMod val="20000"/>
        <a:lumOff val="80000"/>
      </a:schemeClr>
    </a:solidFill>
  </c:sp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'Tableau 5.1 &amp; 5.2'!$CW$5</c:f>
              <c:strCache>
                <c:ptCount val="1"/>
                <c:pt idx="0">
                  <c:v>Proportion de ménages non connectés, situés dans des zones où il n'y a pas l'électricité et qui connaissent le prix du KWh selon l'âge du CM</c:v>
                </c:pt>
              </c:strCache>
            </c:strRef>
          </c:tx>
          <c:spPr>
            <a:ln>
              <a:solidFill>
                <a:srgbClr val="C00000"/>
              </a:solidFill>
            </a:ln>
          </c:spPr>
          <c:marker>
            <c:spPr>
              <a:solidFill>
                <a:srgbClr val="C00000"/>
              </a:solidFill>
            </c:spPr>
          </c:marker>
          <c:dLbls>
            <c:dLbl>
              <c:idx val="0"/>
              <c:layout>
                <c:manualLayout>
                  <c:x val="-3.333333333333334E-2"/>
                  <c:y val="7.407407407407411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3.24074074074075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5000000000000094E-2"/>
                  <c:y val="-4.2437781360067147E-1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888888888888889E-2"/>
                  <c:y val="-6.0185185185185147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222222222222393E-2"/>
                  <c:y val="-7.407407407407411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6.666666666666668E-2"/>
                  <c:y val="1.388888888888893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0"/>
          </c:trendline>
          <c:cat>
            <c:strRef>
              <c:f>'Tableau 5.1 &amp; 5.2'!$CW$6:$CW$11</c:f>
              <c:strCache>
                <c:ptCount val="6"/>
                <c:pt idx="0">
                  <c:v>20-29 ans</c:v>
                </c:pt>
                <c:pt idx="1">
                  <c:v>30-39 ans</c:v>
                </c:pt>
                <c:pt idx="2">
                  <c:v>40-49 ans</c:v>
                </c:pt>
                <c:pt idx="3">
                  <c:v>50-59 ans</c:v>
                </c:pt>
                <c:pt idx="4">
                  <c:v>60-69 ans</c:v>
                </c:pt>
                <c:pt idx="5">
                  <c:v>70 ans et plus</c:v>
                </c:pt>
              </c:strCache>
            </c:strRef>
          </c:cat>
          <c:val>
            <c:numRef>
              <c:f>'Tableau 5.1 &amp; 5.2'!$CX$6:$CX$11</c:f>
              <c:numCache>
                <c:formatCode>0</c:formatCode>
                <c:ptCount val="6"/>
                <c:pt idx="0">
                  <c:v>21.804511278195488</c:v>
                </c:pt>
                <c:pt idx="1">
                  <c:v>22.077922077922079</c:v>
                </c:pt>
                <c:pt idx="2">
                  <c:v>16.714697406340058</c:v>
                </c:pt>
                <c:pt idx="3">
                  <c:v>19.921875000000043</c:v>
                </c:pt>
                <c:pt idx="4">
                  <c:v>18.34319526627219</c:v>
                </c:pt>
                <c:pt idx="5">
                  <c:v>8.4112149532710259</c:v>
                </c:pt>
              </c:numCache>
            </c:numRef>
          </c:val>
          <c:smooth val="0"/>
        </c:ser>
        <c:dLbls>
          <c:showLegendKey val="0"/>
          <c:showVal val="0"/>
          <c:showCatName val="0"/>
          <c:showSerName val="0"/>
          <c:showPercent val="0"/>
          <c:showBubbleSize val="0"/>
        </c:dLbls>
        <c:marker val="1"/>
        <c:smooth val="0"/>
        <c:axId val="478688784"/>
        <c:axId val="478689344"/>
      </c:lineChart>
      <c:catAx>
        <c:axId val="478688784"/>
        <c:scaling>
          <c:orientation val="minMax"/>
        </c:scaling>
        <c:delete val="0"/>
        <c:axPos val="b"/>
        <c:numFmt formatCode="General" sourceLinked="0"/>
        <c:majorTickMark val="out"/>
        <c:minorTickMark val="none"/>
        <c:tickLblPos val="nextTo"/>
        <c:crossAx val="478689344"/>
        <c:crosses val="autoZero"/>
        <c:auto val="1"/>
        <c:lblAlgn val="ctr"/>
        <c:lblOffset val="100"/>
        <c:noMultiLvlLbl val="0"/>
      </c:catAx>
      <c:valAx>
        <c:axId val="478689344"/>
        <c:scaling>
          <c:orientation val="minMax"/>
        </c:scaling>
        <c:delete val="0"/>
        <c:axPos val="l"/>
        <c:majorGridlines/>
        <c:numFmt formatCode="0" sourceLinked="1"/>
        <c:majorTickMark val="out"/>
        <c:minorTickMark val="none"/>
        <c:tickLblPos val="nextTo"/>
        <c:crossAx val="478688784"/>
        <c:crosses val="autoZero"/>
        <c:crossBetween val="between"/>
      </c:valAx>
    </c:plotArea>
    <c:legend>
      <c:legendPos val="t"/>
      <c:legendEntry>
        <c:idx val="1"/>
        <c:delete val="1"/>
      </c:legendEntry>
      <c:layout>
        <c:manualLayout>
          <c:xMode val="edge"/>
          <c:yMode val="edge"/>
          <c:x val="1.3740813648294003E-2"/>
          <c:y val="2.7777777777777912E-2"/>
          <c:w val="0.95307392825896753"/>
          <c:h val="0.1797761738116069"/>
        </c:manualLayout>
      </c:layout>
      <c:overlay val="0"/>
      <c:txPr>
        <a:bodyPr/>
        <a:lstStyle/>
        <a:p>
          <a:pPr>
            <a:defRPr sz="900"/>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'Tableau 5.1 &amp; 5.2'!$CW$16</c:f>
              <c:strCache>
                <c:ptCount val="1"/>
                <c:pt idx="0">
                  <c:v>Proportion de ménages non connectés, situés dans des zones où il n'y a pas l'électricité et qui connaissent le prix du KWh selon le niveau d'instruction du CM</c:v>
                </c:pt>
              </c:strCache>
            </c:strRef>
          </c:tx>
          <c:dLbls>
            <c:dLbl>
              <c:idx val="0"/>
              <c:layout>
                <c:manualLayout>
                  <c:x val="-3.0555555555555582E-2"/>
                  <c:y val="-5.555555555555545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7777777777777939E-3"/>
                  <c:y val="2.777777777777791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5000000000000094E-2"/>
                  <c:y val="-3.703703703703705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05"/>
                  <c:y val="-6.9444444444444503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3333333333333444E-2"/>
                  <c:y val="4.6296296296296426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5.5555555555555558E-3"/>
                  <c:y val="4.166666666666666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0"/>
          </c:trendline>
          <c:cat>
            <c:strRef>
              <c:f>'Tableau 5.1 &amp; 5.2'!$CW$17:$CW$22</c:f>
              <c:strCache>
                <c:ptCount val="6"/>
                <c:pt idx="0">
                  <c:v>Aucun</c:v>
                </c:pt>
                <c:pt idx="1">
                  <c:v>Maternelle</c:v>
                </c:pt>
                <c:pt idx="2">
                  <c:v>Primaire</c:v>
                </c:pt>
                <c:pt idx="3">
                  <c:v>Secondaire1</c:v>
                </c:pt>
                <c:pt idx="4">
                  <c:v>Secondaire2</c:v>
                </c:pt>
                <c:pt idx="5">
                  <c:v>Supérieur</c:v>
                </c:pt>
              </c:strCache>
            </c:strRef>
          </c:cat>
          <c:val>
            <c:numRef>
              <c:f>'Tableau 5.1 &amp; 5.2'!$CX$17:$CX$22</c:f>
              <c:numCache>
                <c:formatCode>0</c:formatCode>
                <c:ptCount val="6"/>
                <c:pt idx="0">
                  <c:v>10.56338028169014</c:v>
                </c:pt>
                <c:pt idx="1">
                  <c:v>3.7037037037037042</c:v>
                </c:pt>
                <c:pt idx="2">
                  <c:v>15.573770491803279</c:v>
                </c:pt>
                <c:pt idx="3">
                  <c:v>22.672064777327929</c:v>
                </c:pt>
                <c:pt idx="4">
                  <c:v>20.67039106145258</c:v>
                </c:pt>
                <c:pt idx="5">
                  <c:v>30</c:v>
                </c:pt>
              </c:numCache>
            </c:numRef>
          </c:val>
          <c:smooth val="0"/>
        </c:ser>
        <c:dLbls>
          <c:showLegendKey val="0"/>
          <c:showVal val="0"/>
          <c:showCatName val="0"/>
          <c:showSerName val="0"/>
          <c:showPercent val="0"/>
          <c:showBubbleSize val="0"/>
        </c:dLbls>
        <c:marker val="1"/>
        <c:smooth val="0"/>
        <c:axId val="478691584"/>
        <c:axId val="478692144"/>
      </c:lineChart>
      <c:catAx>
        <c:axId val="478691584"/>
        <c:scaling>
          <c:orientation val="minMax"/>
        </c:scaling>
        <c:delete val="0"/>
        <c:axPos val="b"/>
        <c:numFmt formatCode="General" sourceLinked="0"/>
        <c:majorTickMark val="out"/>
        <c:minorTickMark val="none"/>
        <c:tickLblPos val="nextTo"/>
        <c:crossAx val="478692144"/>
        <c:crosses val="autoZero"/>
        <c:auto val="1"/>
        <c:lblAlgn val="ctr"/>
        <c:lblOffset val="100"/>
        <c:noMultiLvlLbl val="0"/>
      </c:catAx>
      <c:valAx>
        <c:axId val="478692144"/>
        <c:scaling>
          <c:orientation val="minMax"/>
        </c:scaling>
        <c:delete val="0"/>
        <c:axPos val="l"/>
        <c:majorGridlines/>
        <c:numFmt formatCode="0" sourceLinked="1"/>
        <c:majorTickMark val="out"/>
        <c:minorTickMark val="none"/>
        <c:tickLblPos val="nextTo"/>
        <c:crossAx val="478691584"/>
        <c:crosses val="autoZero"/>
        <c:crossBetween val="between"/>
      </c:valAx>
    </c:plotArea>
    <c:legend>
      <c:legendPos val="t"/>
      <c:legendEntry>
        <c:idx val="1"/>
        <c:delete val="1"/>
      </c:legendEntry>
      <c:overlay val="0"/>
      <c:txPr>
        <a:bodyPr/>
        <a:lstStyle/>
        <a:p>
          <a:pPr>
            <a:defRPr sz="900"/>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08573928259005"/>
          <c:y val="0.10271033829104691"/>
          <c:w val="0.86235870516185453"/>
          <c:h val="0.7813097841936425"/>
        </c:manualLayout>
      </c:layout>
      <c:barChart>
        <c:barDir val="col"/>
        <c:grouping val="stacked"/>
        <c:varyColors val="0"/>
        <c:ser>
          <c:idx val="0"/>
          <c:order val="0"/>
          <c:tx>
            <c:strRef>
              <c:f>'Tableau 5.1 &amp; 5.2'!$CX$26</c:f>
              <c:strCache>
                <c:ptCount val="1"/>
                <c:pt idx="0">
                  <c:v>Oui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5.2'!$CW$27:$CW$31</c:f>
              <c:strCache>
                <c:ptCount val="5"/>
                <c:pt idx="0">
                  <c:v>Masculin</c:v>
                </c:pt>
                <c:pt idx="1">
                  <c:v>Féminin</c:v>
                </c:pt>
                <c:pt idx="2">
                  <c:v>Urbain</c:v>
                </c:pt>
                <c:pt idx="3">
                  <c:v>Rural</c:v>
                </c:pt>
                <c:pt idx="4">
                  <c:v>Ensemble</c:v>
                </c:pt>
              </c:strCache>
            </c:strRef>
          </c:cat>
          <c:val>
            <c:numRef>
              <c:f>'Tableau 5.1 &amp; 5.2'!$CX$27:$CX$31</c:f>
              <c:numCache>
                <c:formatCode>0.0</c:formatCode>
                <c:ptCount val="5"/>
                <c:pt idx="0">
                  <c:v>20.191387559808657</c:v>
                </c:pt>
                <c:pt idx="1">
                  <c:v>12.5</c:v>
                </c:pt>
                <c:pt idx="2">
                  <c:v>21.162790697674417</c:v>
                </c:pt>
                <c:pt idx="3">
                  <c:v>13.763440860215054</c:v>
                </c:pt>
                <c:pt idx="4">
                  <c:v>18.566037735849029</c:v>
                </c:pt>
              </c:numCache>
            </c:numRef>
          </c:val>
        </c:ser>
        <c:ser>
          <c:idx val="1"/>
          <c:order val="1"/>
          <c:tx>
            <c:strRef>
              <c:f>'Tableau 5.1 &amp; 5.2'!$CY$26</c:f>
              <c:strCache>
                <c:ptCount val="1"/>
                <c:pt idx="0">
                  <c:v>Non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5.2'!$CW$27:$CW$31</c:f>
              <c:strCache>
                <c:ptCount val="5"/>
                <c:pt idx="0">
                  <c:v>Masculin</c:v>
                </c:pt>
                <c:pt idx="1">
                  <c:v>Féminin</c:v>
                </c:pt>
                <c:pt idx="2">
                  <c:v>Urbain</c:v>
                </c:pt>
                <c:pt idx="3">
                  <c:v>Rural</c:v>
                </c:pt>
                <c:pt idx="4">
                  <c:v>Ensemble</c:v>
                </c:pt>
              </c:strCache>
            </c:strRef>
          </c:cat>
          <c:val>
            <c:numRef>
              <c:f>'Tableau 5.1 &amp; 5.2'!$CY$27:$CY$31</c:f>
              <c:numCache>
                <c:formatCode>0.0</c:formatCode>
                <c:ptCount val="5"/>
                <c:pt idx="0">
                  <c:v>76.267942583732065</c:v>
                </c:pt>
                <c:pt idx="1">
                  <c:v>82.5</c:v>
                </c:pt>
                <c:pt idx="2">
                  <c:v>74.767441860465112</c:v>
                </c:pt>
                <c:pt idx="3">
                  <c:v>82.795698924731184</c:v>
                </c:pt>
                <c:pt idx="4">
                  <c:v>77.584905660377743</c:v>
                </c:pt>
              </c:numCache>
            </c:numRef>
          </c:val>
        </c:ser>
        <c:ser>
          <c:idx val="2"/>
          <c:order val="2"/>
          <c:tx>
            <c:strRef>
              <c:f>'Tableau 5.1 &amp; 5.2'!$CZ$26</c:f>
              <c:strCache>
                <c:ptCount val="1"/>
                <c:pt idx="0">
                  <c:v>Non déclaré</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5.1 &amp; 5.2'!$CW$27:$CW$31</c:f>
              <c:strCache>
                <c:ptCount val="5"/>
                <c:pt idx="0">
                  <c:v>Masculin</c:v>
                </c:pt>
                <c:pt idx="1">
                  <c:v>Féminin</c:v>
                </c:pt>
                <c:pt idx="2">
                  <c:v>Urbain</c:v>
                </c:pt>
                <c:pt idx="3">
                  <c:v>Rural</c:v>
                </c:pt>
                <c:pt idx="4">
                  <c:v>Ensemble</c:v>
                </c:pt>
              </c:strCache>
            </c:strRef>
          </c:cat>
          <c:val>
            <c:numRef>
              <c:f>'Tableau 5.1 &amp; 5.2'!$CZ$27:$CZ$31</c:f>
              <c:numCache>
                <c:formatCode>0.0</c:formatCode>
                <c:ptCount val="5"/>
                <c:pt idx="0">
                  <c:v>3.5406698564593353</c:v>
                </c:pt>
                <c:pt idx="1">
                  <c:v>5</c:v>
                </c:pt>
                <c:pt idx="2">
                  <c:v>4.0697674418604723</c:v>
                </c:pt>
                <c:pt idx="3">
                  <c:v>3.4408602150537582</c:v>
                </c:pt>
                <c:pt idx="4">
                  <c:v>3.8490566037735765</c:v>
                </c:pt>
              </c:numCache>
            </c:numRef>
          </c:val>
        </c:ser>
        <c:dLbls>
          <c:showLegendKey val="0"/>
          <c:showVal val="0"/>
          <c:showCatName val="0"/>
          <c:showSerName val="0"/>
          <c:showPercent val="0"/>
          <c:showBubbleSize val="0"/>
        </c:dLbls>
        <c:gapWidth val="150"/>
        <c:overlap val="100"/>
        <c:axId val="478695504"/>
        <c:axId val="478696064"/>
      </c:barChart>
      <c:catAx>
        <c:axId val="478695504"/>
        <c:scaling>
          <c:orientation val="minMax"/>
        </c:scaling>
        <c:delete val="0"/>
        <c:axPos val="b"/>
        <c:numFmt formatCode="General" sourceLinked="0"/>
        <c:majorTickMark val="out"/>
        <c:minorTickMark val="none"/>
        <c:tickLblPos val="nextTo"/>
        <c:crossAx val="478696064"/>
        <c:crosses val="autoZero"/>
        <c:auto val="1"/>
        <c:lblAlgn val="ctr"/>
        <c:lblOffset val="100"/>
        <c:noMultiLvlLbl val="0"/>
      </c:catAx>
      <c:valAx>
        <c:axId val="478696064"/>
        <c:scaling>
          <c:orientation val="minMax"/>
          <c:max val="100"/>
        </c:scaling>
        <c:delete val="0"/>
        <c:axPos val="l"/>
        <c:majorGridlines/>
        <c:numFmt formatCode="0.0" sourceLinked="1"/>
        <c:majorTickMark val="out"/>
        <c:minorTickMark val="none"/>
        <c:tickLblPos val="nextTo"/>
        <c:crossAx val="478695504"/>
        <c:crosses val="autoZero"/>
        <c:crossBetween val="between"/>
      </c:valAx>
    </c:plotArea>
    <c:legend>
      <c:legendPos val="t"/>
      <c:layout>
        <c:manualLayout>
          <c:xMode val="edge"/>
          <c:yMode val="edge"/>
          <c:x val="0.31106846019247747"/>
          <c:y val="1.3888888888888935E-2"/>
          <c:w val="0.37508530183727179"/>
          <c:h val="6.5198673082531536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071741032370933E-2"/>
          <c:y val="0.12404746281714785"/>
          <c:w val="0.88337270341207352"/>
          <c:h val="0.70346784776902849"/>
        </c:manualLayout>
      </c:layout>
      <c:barChart>
        <c:barDir val="col"/>
        <c:grouping val="clustered"/>
        <c:varyColors val="0"/>
        <c:ser>
          <c:idx val="0"/>
          <c:order val="0"/>
          <c:tx>
            <c:strRef>
              <c:f>'Tableau 5.3'!$B$43</c:f>
              <c:strCache>
                <c:ptCount val="1"/>
                <c:pt idx="0">
                  <c:v>Ligne directe</c:v>
                </c:pt>
              </c:strCache>
            </c:strRef>
          </c:tx>
          <c:invertIfNegative val="0"/>
          <c:dLbls>
            <c:dLbl>
              <c:idx val="2"/>
              <c:layout>
                <c:manualLayout>
                  <c:x val="-1.0185067526416089E-16"/>
                  <c:y val="9.2592592592593073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5.3'!$C$42:$E$42</c:f>
              <c:strCache>
                <c:ptCount val="3"/>
                <c:pt idx="0">
                  <c:v>Prix moyens payés actuellement par KWh</c:v>
                </c:pt>
                <c:pt idx="1">
                  <c:v>Prix WTP déclarés par les ménages</c:v>
                </c:pt>
                <c:pt idx="2">
                  <c:v>Capacité des ménages à payer</c:v>
                </c:pt>
              </c:strCache>
            </c:strRef>
          </c:cat>
          <c:val>
            <c:numRef>
              <c:f>'Tableau 5.3'!$C$43:$E$43</c:f>
              <c:numCache>
                <c:formatCode>0</c:formatCode>
                <c:ptCount val="3"/>
                <c:pt idx="0">
                  <c:v>114.64100000000002</c:v>
                </c:pt>
                <c:pt idx="1">
                  <c:v>126.80579999999998</c:v>
                </c:pt>
                <c:pt idx="2">
                  <c:v>134.97120000000001</c:v>
                </c:pt>
              </c:numCache>
            </c:numRef>
          </c:val>
        </c:ser>
        <c:ser>
          <c:idx val="1"/>
          <c:order val="1"/>
          <c:tx>
            <c:strRef>
              <c:f>'Tableau 5.3'!$B$44</c:f>
              <c:strCache>
                <c:ptCount val="1"/>
                <c:pt idx="0">
                  <c:v>Toile d'araignée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5.3'!$C$42:$E$42</c:f>
              <c:strCache>
                <c:ptCount val="3"/>
                <c:pt idx="0">
                  <c:v>Prix moyens payés actuellement par KWh</c:v>
                </c:pt>
                <c:pt idx="1">
                  <c:v>Prix WTP déclarés par les ménages</c:v>
                </c:pt>
                <c:pt idx="2">
                  <c:v>Capacité des ménages à payer</c:v>
                </c:pt>
              </c:strCache>
            </c:strRef>
          </c:cat>
          <c:val>
            <c:numRef>
              <c:f>'Tableau 5.3'!$C$44:$E$44</c:f>
              <c:numCache>
                <c:formatCode>0</c:formatCode>
                <c:ptCount val="3"/>
                <c:pt idx="0">
                  <c:v>193.58890000000034</c:v>
                </c:pt>
                <c:pt idx="1">
                  <c:v>166.38550000000001</c:v>
                </c:pt>
                <c:pt idx="2">
                  <c:v>201.5181</c:v>
                </c:pt>
              </c:numCache>
            </c:numRef>
          </c:val>
        </c:ser>
        <c:ser>
          <c:idx val="2"/>
          <c:order val="2"/>
          <c:tx>
            <c:strRef>
              <c:f>'Tableau 5.3'!$B$45</c:f>
              <c:strCache>
                <c:ptCount val="1"/>
                <c:pt idx="0">
                  <c:v>Ensemble</c:v>
                </c:pt>
              </c:strCache>
            </c:strRef>
          </c:tx>
          <c:invertIfNegative val="0"/>
          <c:dLbls>
            <c:dLbl>
              <c:idx val="0"/>
              <c:layout>
                <c:manualLayout>
                  <c:x val="0"/>
                  <c:y val="2.314814814814818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1.388888888888893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'Tableau 5.3'!$C$42:$E$42</c:f>
              <c:strCache>
                <c:ptCount val="3"/>
                <c:pt idx="0">
                  <c:v>Prix moyens payés actuellement par KWh</c:v>
                </c:pt>
                <c:pt idx="1">
                  <c:v>Prix WTP déclarés par les ménages</c:v>
                </c:pt>
                <c:pt idx="2">
                  <c:v>Capacité des ménages à payer</c:v>
                </c:pt>
              </c:strCache>
            </c:strRef>
          </c:cat>
          <c:val>
            <c:numRef>
              <c:f>'Tableau 5.3'!$C$45:$E$45</c:f>
              <c:numCache>
                <c:formatCode>0</c:formatCode>
                <c:ptCount val="3"/>
                <c:pt idx="0">
                  <c:v>143.52440000000001</c:v>
                </c:pt>
                <c:pt idx="1">
                  <c:v>141.60359999999972</c:v>
                </c:pt>
                <c:pt idx="2">
                  <c:v>159.85140000000047</c:v>
                </c:pt>
              </c:numCache>
            </c:numRef>
          </c:val>
        </c:ser>
        <c:dLbls>
          <c:showLegendKey val="0"/>
          <c:showVal val="0"/>
          <c:showCatName val="0"/>
          <c:showSerName val="0"/>
          <c:showPercent val="0"/>
          <c:showBubbleSize val="0"/>
        </c:dLbls>
        <c:gapWidth val="150"/>
        <c:axId val="478699424"/>
        <c:axId val="478699984"/>
      </c:barChart>
      <c:catAx>
        <c:axId val="478699424"/>
        <c:scaling>
          <c:orientation val="minMax"/>
        </c:scaling>
        <c:delete val="0"/>
        <c:axPos val="b"/>
        <c:numFmt formatCode="General" sourceLinked="0"/>
        <c:majorTickMark val="out"/>
        <c:minorTickMark val="none"/>
        <c:tickLblPos val="nextTo"/>
        <c:txPr>
          <a:bodyPr/>
          <a:lstStyle/>
          <a:p>
            <a:pPr>
              <a:defRPr sz="900"/>
            </a:pPr>
            <a:endParaRPr lang="fr-FR"/>
          </a:p>
        </c:txPr>
        <c:crossAx val="478699984"/>
        <c:crosses val="autoZero"/>
        <c:auto val="1"/>
        <c:lblAlgn val="ctr"/>
        <c:lblOffset val="100"/>
        <c:noMultiLvlLbl val="0"/>
      </c:catAx>
      <c:valAx>
        <c:axId val="478699984"/>
        <c:scaling>
          <c:orientation val="minMax"/>
          <c:max val="240"/>
          <c:min val="0"/>
        </c:scaling>
        <c:delete val="0"/>
        <c:axPos val="l"/>
        <c:majorGridlines/>
        <c:numFmt formatCode="0" sourceLinked="1"/>
        <c:majorTickMark val="out"/>
        <c:minorTickMark val="none"/>
        <c:tickLblPos val="nextTo"/>
        <c:crossAx val="478699424"/>
        <c:crosses val="autoZero"/>
        <c:crossBetween val="between"/>
        <c:majorUnit val="40"/>
      </c:valAx>
    </c:plotArea>
    <c:legend>
      <c:legendPos val="t"/>
      <c:overlay val="0"/>
      <c:txPr>
        <a:bodyPr/>
        <a:lstStyle/>
        <a:p>
          <a:pPr>
            <a:defRPr sz="1050"/>
          </a:pPr>
          <a:endParaRPr lang="fr-FR"/>
        </a:p>
      </c:txPr>
    </c:legend>
    <c:plotVisOnly val="1"/>
    <c:dispBlanksAs val="gap"/>
    <c:showDLblsOverMax val="0"/>
  </c:chart>
  <c:spPr>
    <a:solidFill>
      <a:schemeClr val="accent5">
        <a:lumMod val="20000"/>
        <a:lumOff val="80000"/>
      </a:schemeClr>
    </a:solidFill>
  </c:sp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2182852143482079E-2"/>
          <c:y val="0.12331583552056"/>
          <c:w val="0.90837270341207355"/>
          <c:h val="0.60755513319455912"/>
        </c:manualLayout>
      </c:layout>
      <c:lineChart>
        <c:grouping val="standard"/>
        <c:varyColors val="0"/>
        <c:ser>
          <c:idx val="0"/>
          <c:order val="0"/>
          <c:tx>
            <c:strRef>
              <c:f>'Tableau 5.3'!$V$5</c:f>
              <c:strCache>
                <c:ptCount val="1"/>
                <c:pt idx="0">
                  <c:v>Ligne directe</c:v>
                </c:pt>
              </c:strCache>
            </c:strRef>
          </c:tx>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5.3'!$V$6:$V$16</c:f>
              <c:numCache>
                <c:formatCode>0</c:formatCode>
                <c:ptCount val="11"/>
                <c:pt idx="0">
                  <c:v>124.77460000000002</c:v>
                </c:pt>
                <c:pt idx="1">
                  <c:v>118.5</c:v>
                </c:pt>
                <c:pt idx="2">
                  <c:v>114.16670000000001</c:v>
                </c:pt>
                <c:pt idx="3">
                  <c:v>108.0889</c:v>
                </c:pt>
                <c:pt idx="4">
                  <c:v>102.36190000000002</c:v>
                </c:pt>
                <c:pt idx="5">
                  <c:v>95.471430000000012</c:v>
                </c:pt>
                <c:pt idx="6">
                  <c:v>90.253969999999995</c:v>
                </c:pt>
                <c:pt idx="7">
                  <c:v>85.63809999999998</c:v>
                </c:pt>
                <c:pt idx="8">
                  <c:v>81.147620000000217</c:v>
                </c:pt>
                <c:pt idx="9">
                  <c:v>77.20317</c:v>
                </c:pt>
                <c:pt idx="10">
                  <c:v>73.492059999999995</c:v>
                </c:pt>
              </c:numCache>
            </c:numRef>
          </c:val>
          <c:smooth val="0"/>
        </c:ser>
        <c:ser>
          <c:idx val="1"/>
          <c:order val="1"/>
          <c:tx>
            <c:strRef>
              <c:f>'Tableau 5.3'!$W$5</c:f>
              <c:strCache>
                <c:ptCount val="1"/>
                <c:pt idx="0">
                  <c:v>Toile d'araignée</c:v>
                </c:pt>
              </c:strCache>
            </c:strRef>
          </c:tx>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5.3'!$W$6:$W$16</c:f>
              <c:numCache>
                <c:formatCode>0</c:formatCode>
                <c:ptCount val="11"/>
                <c:pt idx="0">
                  <c:v>136.8289000000004</c:v>
                </c:pt>
                <c:pt idx="1">
                  <c:v>131.5162</c:v>
                </c:pt>
                <c:pt idx="2">
                  <c:v>128.1121</c:v>
                </c:pt>
                <c:pt idx="3">
                  <c:v>122.76110000000017</c:v>
                </c:pt>
                <c:pt idx="4">
                  <c:v>116.84960000000002</c:v>
                </c:pt>
                <c:pt idx="5">
                  <c:v>109.5782</c:v>
                </c:pt>
                <c:pt idx="6">
                  <c:v>102.77290000000001</c:v>
                </c:pt>
                <c:pt idx="7">
                  <c:v>96.286140000000003</c:v>
                </c:pt>
                <c:pt idx="8">
                  <c:v>90.280240000000006</c:v>
                </c:pt>
                <c:pt idx="9">
                  <c:v>85.831860000000006</c:v>
                </c:pt>
                <c:pt idx="10">
                  <c:v>80.165189999999981</c:v>
                </c:pt>
              </c:numCache>
            </c:numRef>
          </c:val>
          <c:smooth val="0"/>
        </c:ser>
        <c:ser>
          <c:idx val="2"/>
          <c:order val="2"/>
          <c:tx>
            <c:strRef>
              <c:f>'Tableau 5.3'!$X$5</c:f>
              <c:strCache>
                <c:ptCount val="1"/>
                <c:pt idx="0">
                  <c:v>Ensemble</c:v>
                </c:pt>
              </c:strCache>
            </c:strRef>
          </c:tx>
          <c:trendline>
            <c:trendlineType val="linear"/>
            <c:dispRSqr val="0"/>
            <c:dispEq val="1"/>
            <c:trendlineLbl>
              <c:layout>
                <c:manualLayout>
                  <c:x val="-0.42559930008748931"/>
                  <c:y val="-9.3522490723142823E-2"/>
                </c:manualLayout>
              </c:layout>
              <c:numFmt formatCode="General" sourceLinked="0"/>
              <c:txPr>
                <a:bodyPr/>
                <a:lstStyle/>
                <a:p>
                  <a:pPr>
                    <a:defRPr sz="1050"/>
                  </a:pPr>
                  <a:endParaRPr lang="fr-FR"/>
                </a:p>
              </c:txPr>
            </c:trendlineLbl>
          </c:trendline>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5.3'!$X$6:$X$16</c:f>
              <c:numCache>
                <c:formatCode>0</c:formatCode>
                <c:ptCount val="11"/>
                <c:pt idx="0">
                  <c:v>128.99170000000001</c:v>
                </c:pt>
                <c:pt idx="1">
                  <c:v>123.05370000000001</c:v>
                </c:pt>
                <c:pt idx="2">
                  <c:v>119.0454</c:v>
                </c:pt>
                <c:pt idx="3">
                  <c:v>113.22190000000002</c:v>
                </c:pt>
                <c:pt idx="4">
                  <c:v>107.4303</c:v>
                </c:pt>
                <c:pt idx="5">
                  <c:v>100.40660000000017</c:v>
                </c:pt>
                <c:pt idx="6">
                  <c:v>94.63364</c:v>
                </c:pt>
                <c:pt idx="7">
                  <c:v>89.363259999999997</c:v>
                </c:pt>
                <c:pt idx="8">
                  <c:v>84.342619999999997</c:v>
                </c:pt>
                <c:pt idx="9">
                  <c:v>80.221879999999999</c:v>
                </c:pt>
                <c:pt idx="10">
                  <c:v>75.826629999999994</c:v>
                </c:pt>
              </c:numCache>
            </c:numRef>
          </c:val>
          <c:smooth val="0"/>
        </c:ser>
        <c:dLbls>
          <c:showLegendKey val="0"/>
          <c:showVal val="0"/>
          <c:showCatName val="0"/>
          <c:showSerName val="0"/>
          <c:showPercent val="0"/>
          <c:showBubbleSize val="0"/>
        </c:dLbls>
        <c:marker val="1"/>
        <c:smooth val="0"/>
        <c:axId val="478703344"/>
        <c:axId val="478703904"/>
      </c:lineChart>
      <c:catAx>
        <c:axId val="478703344"/>
        <c:scaling>
          <c:orientation val="minMax"/>
        </c:scaling>
        <c:delete val="0"/>
        <c:axPos val="b"/>
        <c:numFmt formatCode="General" sourceLinked="0"/>
        <c:majorTickMark val="out"/>
        <c:minorTickMark val="none"/>
        <c:tickLblPos val="nextTo"/>
        <c:crossAx val="478703904"/>
        <c:crosses val="autoZero"/>
        <c:auto val="1"/>
        <c:lblAlgn val="ctr"/>
        <c:lblOffset val="100"/>
        <c:noMultiLvlLbl val="0"/>
      </c:catAx>
      <c:valAx>
        <c:axId val="478703904"/>
        <c:scaling>
          <c:orientation val="minMax"/>
          <c:max val="160"/>
          <c:min val="60"/>
        </c:scaling>
        <c:delete val="0"/>
        <c:axPos val="l"/>
        <c:majorGridlines/>
        <c:numFmt formatCode="0" sourceLinked="1"/>
        <c:majorTickMark val="out"/>
        <c:minorTickMark val="none"/>
        <c:tickLblPos val="nextTo"/>
        <c:crossAx val="478703344"/>
        <c:crosses val="autoZero"/>
        <c:crossBetween val="between"/>
        <c:majorUnit val="20"/>
      </c:valAx>
    </c:plotArea>
    <c:legend>
      <c:legendPos val="t"/>
      <c:layout>
        <c:manualLayout>
          <c:xMode val="edge"/>
          <c:yMode val="edge"/>
          <c:x val="8.0452755905511836E-3"/>
          <c:y val="2.0114942528735656E-2"/>
          <c:w val="0.978353674540684"/>
          <c:h val="5.9770718315382998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071741032370933E-2"/>
          <c:y val="0.12201486177864129"/>
          <c:w val="0.88337270341207352"/>
          <c:h val="0.71670075331492789"/>
        </c:manualLayout>
      </c:layout>
      <c:lineChart>
        <c:grouping val="standard"/>
        <c:varyColors val="0"/>
        <c:ser>
          <c:idx val="0"/>
          <c:order val="0"/>
          <c:tx>
            <c:strRef>
              <c:f>'Tableau 5.3'!$AC$11</c:f>
              <c:strCache>
                <c:ptCount val="1"/>
                <c:pt idx="0">
                  <c:v>Ligne directe</c:v>
                </c:pt>
              </c:strCache>
            </c:strRef>
          </c:tx>
          <c:cat>
            <c:strRef>
              <c:f>'Tableau 5.3'!$AB$12:$AB$14</c:f>
              <c:strCache>
                <c:ptCount val="3"/>
                <c:pt idx="0">
                  <c:v>Aucune</c:v>
                </c:pt>
                <c:pt idx="1">
                  <c:v>Situation actuelle dans le ménage</c:v>
                </c:pt>
                <c:pt idx="2">
                  <c:v>Augmenté</c:v>
                </c:pt>
              </c:strCache>
            </c:strRef>
          </c:cat>
          <c:val>
            <c:numRef>
              <c:f>'Tableau 5.3'!$AC$12:$AC$14</c:f>
              <c:numCache>
                <c:formatCode>0</c:formatCode>
                <c:ptCount val="3"/>
                <c:pt idx="0">
                  <c:v>122.8486</c:v>
                </c:pt>
                <c:pt idx="1">
                  <c:v>108.0206</c:v>
                </c:pt>
                <c:pt idx="2">
                  <c:v>95.205609999999993</c:v>
                </c:pt>
              </c:numCache>
            </c:numRef>
          </c:val>
          <c:smooth val="0"/>
        </c:ser>
        <c:ser>
          <c:idx val="1"/>
          <c:order val="1"/>
          <c:tx>
            <c:strRef>
              <c:f>'Tableau 5.3'!$AD$11</c:f>
              <c:strCache>
                <c:ptCount val="1"/>
                <c:pt idx="0">
                  <c:v>Toile d'araignée</c:v>
                </c:pt>
              </c:strCache>
            </c:strRef>
          </c:tx>
          <c:cat>
            <c:strRef>
              <c:f>'Tableau 5.3'!$AB$12:$AB$14</c:f>
              <c:strCache>
                <c:ptCount val="3"/>
                <c:pt idx="0">
                  <c:v>Aucune</c:v>
                </c:pt>
                <c:pt idx="1">
                  <c:v>Situation actuelle dans le ménage</c:v>
                </c:pt>
                <c:pt idx="2">
                  <c:v>Augmenté</c:v>
                </c:pt>
              </c:strCache>
            </c:strRef>
          </c:cat>
          <c:val>
            <c:numRef>
              <c:f>'Tableau 5.3'!$AD$12:$AD$14</c:f>
              <c:numCache>
                <c:formatCode>0</c:formatCode>
                <c:ptCount val="3"/>
                <c:pt idx="0">
                  <c:v>134.5532</c:v>
                </c:pt>
                <c:pt idx="1">
                  <c:v>113.67729999999999</c:v>
                </c:pt>
                <c:pt idx="2">
                  <c:v>97.755319999999998</c:v>
                </c:pt>
              </c:numCache>
            </c:numRef>
          </c:val>
          <c:smooth val="0"/>
        </c:ser>
        <c:ser>
          <c:idx val="2"/>
          <c:order val="2"/>
          <c:tx>
            <c:strRef>
              <c:f>'Tableau 5.3'!$AE$11</c:f>
              <c:strCache>
                <c:ptCount val="1"/>
                <c:pt idx="0">
                  <c:v>Ensemble</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trendlineType val="linear"/>
            <c:dispRSqr val="0"/>
            <c:dispEq val="1"/>
            <c:trendlineLbl>
              <c:layout>
                <c:manualLayout>
                  <c:x val="-0.3455352143482065"/>
                  <c:y val="-0.11752462760336777"/>
                </c:manualLayout>
              </c:layout>
              <c:numFmt formatCode="General" sourceLinked="0"/>
              <c:txPr>
                <a:bodyPr/>
                <a:lstStyle/>
                <a:p>
                  <a:pPr>
                    <a:defRPr sz="1050"/>
                  </a:pPr>
                  <a:endParaRPr lang="fr-FR"/>
                </a:p>
              </c:txPr>
            </c:trendlineLbl>
          </c:trendline>
          <c:cat>
            <c:strRef>
              <c:f>'Tableau 5.3'!$AB$12:$AB$14</c:f>
              <c:strCache>
                <c:ptCount val="3"/>
                <c:pt idx="0">
                  <c:v>Aucune</c:v>
                </c:pt>
                <c:pt idx="1">
                  <c:v>Situation actuelle dans le ménage</c:v>
                </c:pt>
                <c:pt idx="2">
                  <c:v>Augmenté</c:v>
                </c:pt>
              </c:strCache>
            </c:strRef>
          </c:cat>
          <c:val>
            <c:numRef>
              <c:f>'Tableau 5.3'!$AE$12:$AE$14</c:f>
              <c:numCache>
                <c:formatCode>0</c:formatCode>
                <c:ptCount val="3"/>
                <c:pt idx="0">
                  <c:v>126.8886</c:v>
                </c:pt>
                <c:pt idx="1">
                  <c:v>109.9731</c:v>
                </c:pt>
                <c:pt idx="2">
                  <c:v>96.085679999999982</c:v>
                </c:pt>
              </c:numCache>
            </c:numRef>
          </c:val>
          <c:smooth val="0"/>
        </c:ser>
        <c:dLbls>
          <c:showLegendKey val="0"/>
          <c:showVal val="0"/>
          <c:showCatName val="0"/>
          <c:showSerName val="0"/>
          <c:showPercent val="0"/>
          <c:showBubbleSize val="0"/>
        </c:dLbls>
        <c:marker val="1"/>
        <c:smooth val="0"/>
        <c:axId val="478707264"/>
        <c:axId val="478707824"/>
      </c:lineChart>
      <c:catAx>
        <c:axId val="478707264"/>
        <c:scaling>
          <c:orientation val="minMax"/>
        </c:scaling>
        <c:delete val="0"/>
        <c:axPos val="b"/>
        <c:numFmt formatCode="General" sourceLinked="0"/>
        <c:majorTickMark val="out"/>
        <c:minorTickMark val="none"/>
        <c:tickLblPos val="nextTo"/>
        <c:crossAx val="478707824"/>
        <c:crosses val="autoZero"/>
        <c:auto val="1"/>
        <c:lblAlgn val="ctr"/>
        <c:lblOffset val="100"/>
        <c:noMultiLvlLbl val="0"/>
      </c:catAx>
      <c:valAx>
        <c:axId val="478707824"/>
        <c:scaling>
          <c:orientation val="minMax"/>
          <c:min val="80"/>
        </c:scaling>
        <c:delete val="0"/>
        <c:axPos val="l"/>
        <c:majorGridlines/>
        <c:numFmt formatCode="0" sourceLinked="1"/>
        <c:majorTickMark val="out"/>
        <c:minorTickMark val="none"/>
        <c:tickLblPos val="nextTo"/>
        <c:crossAx val="478707264"/>
        <c:crosses val="autoZero"/>
        <c:crossBetween val="between"/>
      </c:valAx>
    </c:plotArea>
    <c:legend>
      <c:legendPos val="t"/>
      <c:layout>
        <c:manualLayout>
          <c:xMode val="edge"/>
          <c:yMode val="edge"/>
          <c:x val="8.0452755905511906E-3"/>
          <c:y val="2.7777777777777912E-2"/>
          <c:w val="0.978353674540684"/>
          <c:h val="6.0569043452901733E-2"/>
        </c:manualLayout>
      </c:layout>
      <c:overlay val="0"/>
    </c:legend>
    <c:plotVisOnly val="1"/>
    <c:dispBlanksAs val="gap"/>
    <c:showDLblsOverMax val="0"/>
  </c:chart>
  <c:spPr>
    <a:solidFill>
      <a:schemeClr val="accent5">
        <a:lumMod val="20000"/>
        <a:lumOff val="80000"/>
      </a:schemeClr>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47720876654979"/>
          <c:y val="4.0515642025016493E-2"/>
          <c:w val="0.82210998571227456"/>
          <c:h val="0.8672131009663121"/>
        </c:manualLayout>
      </c:layout>
      <c:barChart>
        <c:barDir val="bar"/>
        <c:grouping val="clustered"/>
        <c:varyColors val="0"/>
        <c:ser>
          <c:idx val="0"/>
          <c:order val="0"/>
          <c:tx>
            <c:strRef>
              <c:f>'1.42. Caract_Habitats_locataire'!$B$4</c:f>
              <c:strCache>
                <c:ptCount val="1"/>
                <c:pt idx="0">
                  <c:v>Urbain</c:v>
                </c:pt>
              </c:strCache>
            </c:strRef>
          </c:tx>
          <c:invertIfNegative val="0"/>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Caract_Habitats_locataire'!$B$5:$B$10</c:f>
              <c:numCache>
                <c:formatCode>_-* #,##0\ _€_-;\-* #,##0\ _€_-;_-* "-"??\ _€_-;_-@_-</c:formatCode>
                <c:ptCount val="6"/>
                <c:pt idx="0">
                  <c:v>6966.6667000000034</c:v>
                </c:pt>
                <c:pt idx="1">
                  <c:v>13317.143000000016</c:v>
                </c:pt>
                <c:pt idx="2">
                  <c:v>22906.25</c:v>
                </c:pt>
                <c:pt idx="3">
                  <c:v>15666.666999999965</c:v>
                </c:pt>
                <c:pt idx="4">
                  <c:v>42500</c:v>
                </c:pt>
                <c:pt idx="5">
                  <c:v>15106.498</c:v>
                </c:pt>
              </c:numCache>
            </c:numRef>
          </c:val>
        </c:ser>
        <c:ser>
          <c:idx val="1"/>
          <c:order val="1"/>
          <c:tx>
            <c:strRef>
              <c:f>'1.42. Caract_Habitats_locataire'!$C$4</c:f>
              <c:strCache>
                <c:ptCount val="1"/>
                <c:pt idx="0">
                  <c:v>Rural</c:v>
                </c:pt>
              </c:strCache>
            </c:strRef>
          </c:tx>
          <c:invertIfNegative val="0"/>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Caract_Habitats_locataire'!$C$5:$C$10</c:f>
              <c:numCache>
                <c:formatCode>_-* #,##0\ _€_-;\-* #,##0\ _€_-;_-* "-"??\ _€_-;_-@_-</c:formatCode>
                <c:ptCount val="6"/>
                <c:pt idx="0">
                  <c:v>4055.5556000000001</c:v>
                </c:pt>
                <c:pt idx="1">
                  <c:v>9205.8824000000004</c:v>
                </c:pt>
                <c:pt idx="2">
                  <c:v>11187.5</c:v>
                </c:pt>
                <c:pt idx="3">
                  <c:v>13333.333000000002</c:v>
                </c:pt>
                <c:pt idx="4">
                  <c:v>3750</c:v>
                </c:pt>
                <c:pt idx="5">
                  <c:v>8649.532699999987</c:v>
                </c:pt>
              </c:numCache>
            </c:numRef>
          </c:val>
        </c:ser>
        <c:ser>
          <c:idx val="2"/>
          <c:order val="2"/>
          <c:tx>
            <c:strRef>
              <c:f>'1.42. Caract_Habitats_locataire'!$D$4</c:f>
              <c:strCache>
                <c:ptCount val="1"/>
                <c:pt idx="0">
                  <c:v>Ensemble </c:v>
                </c:pt>
              </c:strCache>
            </c:strRef>
          </c:tx>
          <c:invertIfNegative val="0"/>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Caract_Habitats_locataire'!$D$5:$D$10</c:f>
              <c:numCache>
                <c:formatCode>_-* #,##0\ _€_-;\-* #,##0\ _€_-;_-* "-"??\ _€_-;_-@_-</c:formatCode>
                <c:ptCount val="6"/>
                <c:pt idx="0">
                  <c:v>5875</c:v>
                </c:pt>
                <c:pt idx="1">
                  <c:v>12166.666999999965</c:v>
                </c:pt>
                <c:pt idx="2">
                  <c:v>20562.5</c:v>
                </c:pt>
                <c:pt idx="3">
                  <c:v>14888.888999999961</c:v>
                </c:pt>
                <c:pt idx="4">
                  <c:v>23125</c:v>
                </c:pt>
                <c:pt idx="5">
                  <c:v>13307.29</c:v>
                </c:pt>
              </c:numCache>
            </c:numRef>
          </c:val>
        </c:ser>
        <c:dLbls>
          <c:showLegendKey val="0"/>
          <c:showVal val="0"/>
          <c:showCatName val="0"/>
          <c:showSerName val="0"/>
          <c:showPercent val="0"/>
          <c:showBubbleSize val="0"/>
        </c:dLbls>
        <c:gapWidth val="54"/>
        <c:axId val="331634784"/>
        <c:axId val="331635904"/>
      </c:barChart>
      <c:catAx>
        <c:axId val="331634784"/>
        <c:scaling>
          <c:orientation val="minMax"/>
        </c:scaling>
        <c:delete val="0"/>
        <c:axPos val="l"/>
        <c:numFmt formatCode="General" sourceLinked="0"/>
        <c:majorTickMark val="out"/>
        <c:minorTickMark val="none"/>
        <c:tickLblPos val="nextTo"/>
        <c:txPr>
          <a:bodyPr/>
          <a:lstStyle/>
          <a:p>
            <a:pPr>
              <a:defRPr sz="1100"/>
            </a:pPr>
            <a:endParaRPr lang="fr-FR"/>
          </a:p>
        </c:txPr>
        <c:crossAx val="331635904"/>
        <c:crosses val="autoZero"/>
        <c:auto val="1"/>
        <c:lblAlgn val="ctr"/>
        <c:lblOffset val="100"/>
        <c:noMultiLvlLbl val="0"/>
      </c:catAx>
      <c:valAx>
        <c:axId val="331635904"/>
        <c:scaling>
          <c:orientation val="minMax"/>
        </c:scaling>
        <c:delete val="0"/>
        <c:axPos val="b"/>
        <c:numFmt formatCode="_-* #,##0\ _€_-;\-* #,##0\ _€_-;_-* &quot;-&quot;??\ _€_-;_-@_-" sourceLinked="1"/>
        <c:majorTickMark val="out"/>
        <c:minorTickMark val="none"/>
        <c:tickLblPos val="nextTo"/>
        <c:crossAx val="331634784"/>
        <c:crosses val="autoZero"/>
        <c:crossBetween val="between"/>
      </c:valAx>
    </c:plotArea>
    <c:legend>
      <c:legendPos val="r"/>
      <c:layout>
        <c:manualLayout>
          <c:xMode val="edge"/>
          <c:yMode val="edge"/>
          <c:x val="0.84728268357283532"/>
          <c:y val="0.57320671881013352"/>
          <c:w val="0.12682735318785471"/>
          <c:h val="0.19981113968441891"/>
        </c:manualLayout>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7260339902293618"/>
          <c:y val="3.6295273612322959E-2"/>
          <c:w val="0.47058970521246979"/>
          <c:h val="0.8110775149610836"/>
        </c:manualLayout>
      </c:layout>
      <c:barChart>
        <c:barDir val="bar"/>
        <c:grouping val="stacked"/>
        <c:varyColors val="0"/>
        <c:ser>
          <c:idx val="0"/>
          <c:order val="0"/>
          <c:tx>
            <c:strRef>
              <c:f>'1.52.Branche Activité_CM'!$B$45</c:f>
              <c:strCache>
                <c:ptCount val="1"/>
                <c:pt idx="0">
                  <c:v>Agriculture Elevage Pêche et Forêt</c:v>
                </c:pt>
              </c:strCache>
            </c:strRef>
          </c:tx>
          <c:spPr>
            <a:solidFill>
              <a:srgbClr val="00B050"/>
            </a:solidFill>
          </c:spPr>
          <c:invertIfNegative val="0"/>
          <c:dLbls>
            <c:spPr>
              <a:noFill/>
              <a:ln>
                <a:noFill/>
              </a:ln>
              <a:effectLst/>
            </c:spPr>
            <c:txPr>
              <a:bodyPr/>
              <a:lstStyle/>
              <a:p>
                <a:pPr>
                  <a:defRPr>
                    <a:solidFill>
                      <a:sysClr val="windowText" lastClr="000000"/>
                    </a:solidFill>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Activité_CM'!$B$46:$B$62</c:f>
              <c:numCache>
                <c:formatCode>0.0</c:formatCode>
                <c:ptCount val="17"/>
                <c:pt idx="0">
                  <c:v>30.79</c:v>
                </c:pt>
                <c:pt idx="1">
                  <c:v>56.1</c:v>
                </c:pt>
                <c:pt idx="3">
                  <c:v>71.09</c:v>
                </c:pt>
                <c:pt idx="4">
                  <c:v>54.58</c:v>
                </c:pt>
                <c:pt idx="5">
                  <c:v>21.71</c:v>
                </c:pt>
                <c:pt idx="6">
                  <c:v>77.410000000000025</c:v>
                </c:pt>
                <c:pt idx="7">
                  <c:v>64.3</c:v>
                </c:pt>
                <c:pt idx="8">
                  <c:v>66.989999999999995</c:v>
                </c:pt>
                <c:pt idx="9">
                  <c:v>61.27</c:v>
                </c:pt>
                <c:pt idx="10">
                  <c:v>0.97000000000000064</c:v>
                </c:pt>
                <c:pt idx="11">
                  <c:v>41.04</c:v>
                </c:pt>
                <c:pt idx="12">
                  <c:v>11.82</c:v>
                </c:pt>
                <c:pt idx="13">
                  <c:v>43.9</c:v>
                </c:pt>
                <c:pt idx="14">
                  <c:v>28.650000000000031</c:v>
                </c:pt>
                <c:pt idx="16">
                  <c:v>46.13</c:v>
                </c:pt>
              </c:numCache>
            </c:numRef>
          </c:val>
        </c:ser>
        <c:ser>
          <c:idx val="1"/>
          <c:order val="1"/>
          <c:tx>
            <c:strRef>
              <c:f>'1.52.Branche Activité_CM'!$C$45</c:f>
              <c:strCache>
                <c:ptCount val="1"/>
                <c:pt idx="0">
                  <c:v>Industrie</c:v>
                </c:pt>
              </c:strCache>
            </c:strRef>
          </c:tx>
          <c:invertIfNegative val="0"/>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Activité_CM'!$C$46:$C$62</c:f>
              <c:numCache>
                <c:formatCode>0.0</c:formatCode>
                <c:ptCount val="17"/>
                <c:pt idx="0">
                  <c:v>3.44</c:v>
                </c:pt>
                <c:pt idx="1">
                  <c:v>1.9000000000000001</c:v>
                </c:pt>
                <c:pt idx="3">
                  <c:v>1.36</c:v>
                </c:pt>
                <c:pt idx="4">
                  <c:v>2.92</c:v>
                </c:pt>
                <c:pt idx="5">
                  <c:v>1.07</c:v>
                </c:pt>
                <c:pt idx="6">
                  <c:v>0.30000000000000032</c:v>
                </c:pt>
                <c:pt idx="7">
                  <c:v>1.6</c:v>
                </c:pt>
                <c:pt idx="8">
                  <c:v>0</c:v>
                </c:pt>
                <c:pt idx="9">
                  <c:v>3.8699999999999997</c:v>
                </c:pt>
                <c:pt idx="10">
                  <c:v>4.8499999999999996</c:v>
                </c:pt>
                <c:pt idx="11">
                  <c:v>8.58</c:v>
                </c:pt>
                <c:pt idx="12">
                  <c:v>3.17</c:v>
                </c:pt>
                <c:pt idx="13">
                  <c:v>2.44</c:v>
                </c:pt>
                <c:pt idx="14">
                  <c:v>1.33</c:v>
                </c:pt>
                <c:pt idx="16">
                  <c:v>2.5</c:v>
                </c:pt>
              </c:numCache>
            </c:numRef>
          </c:val>
        </c:ser>
        <c:ser>
          <c:idx val="2"/>
          <c:order val="2"/>
          <c:tx>
            <c:strRef>
              <c:f>'1.52.Branche Activité_CM'!$D$45</c:f>
              <c:strCache>
                <c:ptCount val="1"/>
                <c:pt idx="0">
                  <c:v>Eau, Electricité, Gaz</c:v>
                </c:pt>
              </c:strCache>
            </c:strRef>
          </c:tx>
          <c:invertIfNegative val="0"/>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Activité_CM'!$D$46:$D$62</c:f>
              <c:numCache>
                <c:formatCode>0.0</c:formatCode>
                <c:ptCount val="17"/>
                <c:pt idx="0">
                  <c:v>1.57</c:v>
                </c:pt>
                <c:pt idx="1">
                  <c:v>1.02</c:v>
                </c:pt>
                <c:pt idx="3">
                  <c:v>1.02</c:v>
                </c:pt>
                <c:pt idx="4">
                  <c:v>0.83000000000000063</c:v>
                </c:pt>
                <c:pt idx="5">
                  <c:v>2.8499999999999988</c:v>
                </c:pt>
                <c:pt idx="6">
                  <c:v>0.30000000000000032</c:v>
                </c:pt>
                <c:pt idx="7">
                  <c:v>0.46</c:v>
                </c:pt>
                <c:pt idx="8">
                  <c:v>0.49000000000000032</c:v>
                </c:pt>
                <c:pt idx="9">
                  <c:v>2.46</c:v>
                </c:pt>
                <c:pt idx="10">
                  <c:v>3.88</c:v>
                </c:pt>
                <c:pt idx="11">
                  <c:v>0</c:v>
                </c:pt>
                <c:pt idx="12">
                  <c:v>1.73</c:v>
                </c:pt>
                <c:pt idx="13">
                  <c:v>0</c:v>
                </c:pt>
                <c:pt idx="14">
                  <c:v>1.06</c:v>
                </c:pt>
                <c:pt idx="16">
                  <c:v>1.24</c:v>
                </c:pt>
              </c:numCache>
            </c:numRef>
          </c:val>
        </c:ser>
        <c:ser>
          <c:idx val="3"/>
          <c:order val="3"/>
          <c:tx>
            <c:strRef>
              <c:f>'1.52.Branche Activité_CM'!$E$45</c:f>
              <c:strCache>
                <c:ptCount val="1"/>
                <c:pt idx="0">
                  <c:v>BTP</c:v>
                </c:pt>
              </c:strCache>
            </c:strRef>
          </c:tx>
          <c:invertIfNegative val="0"/>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Activité_CM'!$E$46:$E$62</c:f>
              <c:numCache>
                <c:formatCode>0.0</c:formatCode>
                <c:ptCount val="17"/>
                <c:pt idx="0">
                  <c:v>3.51</c:v>
                </c:pt>
                <c:pt idx="1">
                  <c:v>1.56</c:v>
                </c:pt>
                <c:pt idx="3">
                  <c:v>0</c:v>
                </c:pt>
                <c:pt idx="4">
                  <c:v>1.6700000000000021</c:v>
                </c:pt>
                <c:pt idx="5">
                  <c:v>2.8499999999999988</c:v>
                </c:pt>
                <c:pt idx="6">
                  <c:v>1.2</c:v>
                </c:pt>
                <c:pt idx="7">
                  <c:v>1.37</c:v>
                </c:pt>
                <c:pt idx="8">
                  <c:v>1.9400000000000028</c:v>
                </c:pt>
                <c:pt idx="9">
                  <c:v>3.8699999999999997</c:v>
                </c:pt>
                <c:pt idx="10">
                  <c:v>4.37</c:v>
                </c:pt>
                <c:pt idx="11">
                  <c:v>3.36</c:v>
                </c:pt>
                <c:pt idx="12">
                  <c:v>6.05</c:v>
                </c:pt>
                <c:pt idx="13">
                  <c:v>0.81</c:v>
                </c:pt>
                <c:pt idx="14">
                  <c:v>0.53</c:v>
                </c:pt>
                <c:pt idx="16">
                  <c:v>2.3299999999999987</c:v>
                </c:pt>
              </c:numCache>
            </c:numRef>
          </c:val>
        </c:ser>
        <c:ser>
          <c:idx val="4"/>
          <c:order val="4"/>
          <c:tx>
            <c:strRef>
              <c:f>'1.52.Branche Activité_CM'!$F$45</c:f>
              <c:strCache>
                <c:ptCount val="1"/>
                <c:pt idx="0">
                  <c:v>Commerce et restauration</c:v>
                </c:pt>
              </c:strCache>
            </c:strRef>
          </c:tx>
          <c:spPr>
            <a:solidFill>
              <a:schemeClr val="accent5">
                <a:lumMod val="5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Activité_CM'!$F$46:$F$62</c:f>
              <c:numCache>
                <c:formatCode>0.0</c:formatCode>
                <c:ptCount val="17"/>
                <c:pt idx="0">
                  <c:v>18.68</c:v>
                </c:pt>
                <c:pt idx="1">
                  <c:v>14.239999999999998</c:v>
                </c:pt>
                <c:pt idx="3">
                  <c:v>13.61</c:v>
                </c:pt>
                <c:pt idx="4">
                  <c:v>15.42</c:v>
                </c:pt>
                <c:pt idx="5">
                  <c:v>17.439999999999987</c:v>
                </c:pt>
                <c:pt idx="6">
                  <c:v>6.33</c:v>
                </c:pt>
                <c:pt idx="7">
                  <c:v>11.44</c:v>
                </c:pt>
                <c:pt idx="8">
                  <c:v>9.7100000000000009</c:v>
                </c:pt>
                <c:pt idx="9">
                  <c:v>14.08</c:v>
                </c:pt>
                <c:pt idx="10">
                  <c:v>28.16</c:v>
                </c:pt>
                <c:pt idx="11">
                  <c:v>20.52</c:v>
                </c:pt>
                <c:pt idx="12">
                  <c:v>19.600000000000001</c:v>
                </c:pt>
                <c:pt idx="13">
                  <c:v>25.2</c:v>
                </c:pt>
                <c:pt idx="14">
                  <c:v>19.630000000000031</c:v>
                </c:pt>
                <c:pt idx="16">
                  <c:v>15.99</c:v>
                </c:pt>
              </c:numCache>
            </c:numRef>
          </c:val>
        </c:ser>
        <c:ser>
          <c:idx val="5"/>
          <c:order val="5"/>
          <c:tx>
            <c:strRef>
              <c:f>'1.52.Branche Activité_CM'!$G$45</c:f>
              <c:strCache>
                <c:ptCount val="1"/>
                <c:pt idx="0">
                  <c:v>Transports et communications</c:v>
                </c:pt>
              </c:strCache>
            </c:strRef>
          </c:tx>
          <c:invertIfNegative val="0"/>
          <c:dLbls>
            <c:dLbl>
              <c:idx val="5"/>
              <c:showLegendKey val="0"/>
              <c:showVal val="1"/>
              <c:showCatName val="0"/>
              <c:showSerName val="0"/>
              <c:showPercent val="0"/>
              <c:showBubbleSize val="0"/>
              <c:extLst>
                <c:ext xmlns:c15="http://schemas.microsoft.com/office/drawing/2012/chart" uri="{CE6537A1-D6FC-4f65-9D91-7224C49458BB}"/>
              </c:extLst>
            </c:dLbl>
            <c:dLbl>
              <c:idx val="12"/>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Activité_CM'!$G$46:$G$62</c:f>
              <c:numCache>
                <c:formatCode>0.0</c:formatCode>
                <c:ptCount val="17"/>
                <c:pt idx="0">
                  <c:v>6.6499999999999995</c:v>
                </c:pt>
                <c:pt idx="1">
                  <c:v>3.9899999999999998</c:v>
                </c:pt>
                <c:pt idx="3">
                  <c:v>2.04</c:v>
                </c:pt>
                <c:pt idx="4">
                  <c:v>2.92</c:v>
                </c:pt>
                <c:pt idx="5">
                  <c:v>12.81</c:v>
                </c:pt>
                <c:pt idx="6">
                  <c:v>2.71</c:v>
                </c:pt>
                <c:pt idx="7">
                  <c:v>1.37</c:v>
                </c:pt>
                <c:pt idx="8">
                  <c:v>0</c:v>
                </c:pt>
                <c:pt idx="9">
                  <c:v>4.58</c:v>
                </c:pt>
                <c:pt idx="10">
                  <c:v>6.31</c:v>
                </c:pt>
                <c:pt idx="11">
                  <c:v>6.72</c:v>
                </c:pt>
                <c:pt idx="12">
                  <c:v>8.3600000000000048</c:v>
                </c:pt>
                <c:pt idx="13">
                  <c:v>5.6899999999999995</c:v>
                </c:pt>
                <c:pt idx="14">
                  <c:v>7.1599999999999975</c:v>
                </c:pt>
                <c:pt idx="16">
                  <c:v>5.04</c:v>
                </c:pt>
              </c:numCache>
            </c:numRef>
          </c:val>
        </c:ser>
        <c:ser>
          <c:idx val="6"/>
          <c:order val="6"/>
          <c:tx>
            <c:strRef>
              <c:f>'1.52.Branche Activité_CM'!$H$45</c:f>
              <c:strCache>
                <c:ptCount val="1"/>
                <c:pt idx="0">
                  <c:v>Banques et assurances</c:v>
                </c:pt>
              </c:strCache>
            </c:strRef>
          </c:tx>
          <c:invertIfNegative val="0"/>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Activité_CM'!$H$46:$H$62</c:f>
              <c:numCache>
                <c:formatCode>0.0</c:formatCode>
                <c:ptCount val="17"/>
                <c:pt idx="0">
                  <c:v>1.27</c:v>
                </c:pt>
                <c:pt idx="1">
                  <c:v>0.34</c:v>
                </c:pt>
                <c:pt idx="3">
                  <c:v>0.34</c:v>
                </c:pt>
                <c:pt idx="4">
                  <c:v>0</c:v>
                </c:pt>
                <c:pt idx="5">
                  <c:v>1.07</c:v>
                </c:pt>
                <c:pt idx="6">
                  <c:v>0.30000000000000032</c:v>
                </c:pt>
                <c:pt idx="7">
                  <c:v>0.46</c:v>
                </c:pt>
                <c:pt idx="8">
                  <c:v>0</c:v>
                </c:pt>
                <c:pt idx="9">
                  <c:v>0.35000000000000031</c:v>
                </c:pt>
                <c:pt idx="10">
                  <c:v>3.88</c:v>
                </c:pt>
                <c:pt idx="11">
                  <c:v>0.37000000000000038</c:v>
                </c:pt>
                <c:pt idx="12">
                  <c:v>0.86000000000000065</c:v>
                </c:pt>
                <c:pt idx="13">
                  <c:v>0</c:v>
                </c:pt>
                <c:pt idx="14">
                  <c:v>1.06</c:v>
                </c:pt>
                <c:pt idx="16">
                  <c:v>0.71000000000000063</c:v>
                </c:pt>
              </c:numCache>
            </c:numRef>
          </c:val>
        </c:ser>
        <c:ser>
          <c:idx val="7"/>
          <c:order val="7"/>
          <c:tx>
            <c:strRef>
              <c:f>'1.52.Branche Activité_CM'!$I$45</c:f>
              <c:strCache>
                <c:ptCount val="1"/>
                <c:pt idx="0">
                  <c:v>Autres services</c:v>
                </c:pt>
              </c:strCache>
            </c:strRef>
          </c:tx>
          <c:spPr>
            <a:solidFill>
              <a:schemeClr val="accent2">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Activité_CM'!$I$46:$I$62</c:f>
              <c:numCache>
                <c:formatCode>0.0</c:formatCode>
                <c:ptCount val="17"/>
                <c:pt idx="0">
                  <c:v>32.809999999999995</c:v>
                </c:pt>
                <c:pt idx="1">
                  <c:v>20.27</c:v>
                </c:pt>
                <c:pt idx="3">
                  <c:v>10.54</c:v>
                </c:pt>
                <c:pt idx="4">
                  <c:v>21.25</c:v>
                </c:pt>
                <c:pt idx="5">
                  <c:v>38.08</c:v>
                </c:pt>
                <c:pt idx="6">
                  <c:v>11.450000000000006</c:v>
                </c:pt>
                <c:pt idx="7">
                  <c:v>18.760000000000002</c:v>
                </c:pt>
                <c:pt idx="8">
                  <c:v>20.39</c:v>
                </c:pt>
                <c:pt idx="9">
                  <c:v>9.51</c:v>
                </c:pt>
                <c:pt idx="10">
                  <c:v>41.75</c:v>
                </c:pt>
                <c:pt idx="11">
                  <c:v>19.03</c:v>
                </c:pt>
                <c:pt idx="12">
                  <c:v>46.4</c:v>
                </c:pt>
                <c:pt idx="13">
                  <c:v>21.95</c:v>
                </c:pt>
                <c:pt idx="14">
                  <c:v>40.58</c:v>
                </c:pt>
                <c:pt idx="16">
                  <c:v>25.21</c:v>
                </c:pt>
              </c:numCache>
            </c:numRef>
          </c:val>
        </c:ser>
        <c:ser>
          <c:idx val="8"/>
          <c:order val="8"/>
          <c:tx>
            <c:strRef>
              <c:f>'1.52.Branche Activité_CM'!$J$45</c:f>
              <c:strCache>
                <c:ptCount val="1"/>
                <c:pt idx="0">
                  <c:v>Non déclaré</c:v>
                </c:pt>
              </c:strCache>
            </c:strRef>
          </c:tx>
          <c:invertIfNegative val="0"/>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Activité_CM'!$J$46:$J$62</c:f>
              <c:numCache>
                <c:formatCode>0.0</c:formatCode>
                <c:ptCount val="17"/>
                <c:pt idx="0">
                  <c:v>1.27</c:v>
                </c:pt>
                <c:pt idx="1">
                  <c:v>0.58000000000000007</c:v>
                </c:pt>
                <c:pt idx="3">
                  <c:v>0</c:v>
                </c:pt>
                <c:pt idx="4">
                  <c:v>0.42000000000000032</c:v>
                </c:pt>
                <c:pt idx="5">
                  <c:v>2.14</c:v>
                </c:pt>
                <c:pt idx="6">
                  <c:v>0</c:v>
                </c:pt>
                <c:pt idx="7">
                  <c:v>0.23</c:v>
                </c:pt>
                <c:pt idx="8">
                  <c:v>0.49000000000000032</c:v>
                </c:pt>
                <c:pt idx="9">
                  <c:v>0</c:v>
                </c:pt>
                <c:pt idx="10">
                  <c:v>5.83</c:v>
                </c:pt>
                <c:pt idx="11">
                  <c:v>0.37000000000000038</c:v>
                </c:pt>
                <c:pt idx="12">
                  <c:v>2.02</c:v>
                </c:pt>
                <c:pt idx="13">
                  <c:v>0</c:v>
                </c:pt>
                <c:pt idx="14">
                  <c:v>0</c:v>
                </c:pt>
                <c:pt idx="16">
                  <c:v>0.85000000000000064</c:v>
                </c:pt>
              </c:numCache>
            </c:numRef>
          </c:val>
        </c:ser>
        <c:dLbls>
          <c:showLegendKey val="0"/>
          <c:showVal val="0"/>
          <c:showCatName val="0"/>
          <c:showSerName val="0"/>
          <c:showPercent val="0"/>
          <c:showBubbleSize val="0"/>
        </c:dLbls>
        <c:gapWidth val="16"/>
        <c:overlap val="100"/>
        <c:axId val="331643184"/>
        <c:axId val="331643744"/>
      </c:barChart>
      <c:catAx>
        <c:axId val="331643184"/>
        <c:scaling>
          <c:orientation val="minMax"/>
        </c:scaling>
        <c:delete val="0"/>
        <c:axPos val="l"/>
        <c:numFmt formatCode="General" sourceLinked="0"/>
        <c:majorTickMark val="none"/>
        <c:minorTickMark val="none"/>
        <c:tickLblPos val="nextTo"/>
        <c:crossAx val="331643744"/>
        <c:crosses val="autoZero"/>
        <c:auto val="1"/>
        <c:lblAlgn val="ctr"/>
        <c:lblOffset val="100"/>
        <c:noMultiLvlLbl val="0"/>
      </c:catAx>
      <c:valAx>
        <c:axId val="331643744"/>
        <c:scaling>
          <c:orientation val="minMax"/>
          <c:max val="100"/>
        </c:scaling>
        <c:delete val="0"/>
        <c:axPos val="b"/>
        <c:title>
          <c:tx>
            <c:rich>
              <a:bodyPr/>
              <a:lstStyle/>
              <a:p>
                <a:pPr>
                  <a:defRPr b="0"/>
                </a:pPr>
                <a:r>
                  <a:rPr lang="fr-FR" b="0"/>
                  <a:t>Pourcentage de chefs</a:t>
                </a:r>
                <a:r>
                  <a:rPr lang="fr-FR" b="0" baseline="0"/>
                  <a:t> de ménage</a:t>
                </a:r>
                <a:endParaRPr lang="fr-FR" b="0"/>
              </a:p>
            </c:rich>
          </c:tx>
          <c:overlay val="0"/>
        </c:title>
        <c:numFmt formatCode="0" sourceLinked="0"/>
        <c:majorTickMark val="out"/>
        <c:minorTickMark val="none"/>
        <c:tickLblPos val="nextTo"/>
        <c:crossAx val="331643184"/>
        <c:crosses val="autoZero"/>
        <c:crossBetween val="between"/>
      </c:valAx>
    </c:plotArea>
    <c:legend>
      <c:legendPos val="r"/>
      <c:layout>
        <c:manualLayout>
          <c:xMode val="edge"/>
          <c:yMode val="edge"/>
          <c:x val="0.75328946340362513"/>
          <c:y val="9.1130703425164133E-2"/>
          <c:w val="0.24671048350361227"/>
          <c:h val="0.80063018307250244"/>
        </c:manualLayout>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invertIfNegative val="0"/>
          <c:dPt>
            <c:idx val="0"/>
            <c:invertIfNegative val="0"/>
            <c:bubble3D val="0"/>
            <c:spPr>
              <a:solidFill>
                <a:srgbClr val="00B0F0"/>
              </a:solidFill>
            </c:spPr>
          </c:dPt>
          <c:dPt>
            <c:idx val="1"/>
            <c:invertIfNegative val="0"/>
            <c:bubble3D val="0"/>
            <c:spPr>
              <a:solidFill>
                <a:srgbClr val="00B0F0"/>
              </a:solidFill>
            </c:spPr>
          </c:dPt>
          <c:dPt>
            <c:idx val="3"/>
            <c:invertIfNegative val="0"/>
            <c:bubble3D val="0"/>
            <c:spPr>
              <a:solidFill>
                <a:srgbClr val="C0504D">
                  <a:lumMod val="40000"/>
                  <a:lumOff val="60000"/>
                </a:srgbClr>
              </a:solidFill>
            </c:spPr>
          </c:dPt>
          <c:dPt>
            <c:idx val="4"/>
            <c:invertIfNegative val="0"/>
            <c:bubble3D val="0"/>
            <c:spPr>
              <a:solidFill>
                <a:schemeClr val="accent2">
                  <a:lumMod val="40000"/>
                  <a:lumOff val="60000"/>
                </a:schemeClr>
              </a:solidFill>
            </c:spPr>
          </c:dPt>
          <c:dPt>
            <c:idx val="19"/>
            <c:invertIfNegative val="0"/>
            <c:bubble3D val="0"/>
            <c:spPr>
              <a:solidFill>
                <a:schemeClr val="accent5">
                  <a:lumMod val="60000"/>
                  <a:lumOff val="40000"/>
                </a:schemeClr>
              </a:solidFill>
            </c:spPr>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'1.53. Revenus-dépenses-épargnes'!$A$59:$A$78</c:f>
              <c:strCache>
                <c:ptCount val="20"/>
                <c:pt idx="0">
                  <c:v>Urbain</c:v>
                </c:pt>
                <c:pt idx="1">
                  <c:v>Rural</c:v>
                </c:pt>
                <c:pt idx="2">
                  <c:v>Milieu de résidence</c:v>
                </c:pt>
                <c:pt idx="3">
                  <c:v>Masculin</c:v>
                </c:pt>
                <c:pt idx="4">
                  <c:v>Féminin</c:v>
                </c:pt>
                <c:pt idx="5">
                  <c:v>Sexe du Chef de ménage</c:v>
                </c:pt>
                <c:pt idx="6">
                  <c:v>ALIBORI</c:v>
                </c:pt>
                <c:pt idx="7">
                  <c:v>ATACORA</c:v>
                </c:pt>
                <c:pt idx="8">
                  <c:v>ATLANTIQUE</c:v>
                </c:pt>
                <c:pt idx="9">
                  <c:v>BORGOU</c:v>
                </c:pt>
                <c:pt idx="10">
                  <c:v>COLLINES</c:v>
                </c:pt>
                <c:pt idx="11">
                  <c:v>COUFFO</c:v>
                </c:pt>
                <c:pt idx="12">
                  <c:v>DONGA</c:v>
                </c:pt>
                <c:pt idx="13">
                  <c:v>LITTORAL</c:v>
                </c:pt>
                <c:pt idx="14">
                  <c:v>MONO</c:v>
                </c:pt>
                <c:pt idx="15">
                  <c:v>OUEME</c:v>
                </c:pt>
                <c:pt idx="16">
                  <c:v>PLATEAU</c:v>
                </c:pt>
                <c:pt idx="17">
                  <c:v>ZOU</c:v>
                </c:pt>
                <c:pt idx="18">
                  <c:v>Département de résidence</c:v>
                </c:pt>
                <c:pt idx="19">
                  <c:v>Ensemble</c:v>
                </c:pt>
              </c:strCache>
            </c:strRef>
          </c:cat>
          <c:val>
            <c:numRef>
              <c:f>'1.53. Revenus-dépenses-épargnes'!$B$59:$B$78</c:f>
              <c:numCache>
                <c:formatCode>_-* #,##0\ _€_-;\-* #,##0\ _€_-;_-* "-"??\ _€_-;_-@_-</c:formatCode>
                <c:ptCount val="20"/>
                <c:pt idx="0">
                  <c:v>14208.76</c:v>
                </c:pt>
                <c:pt idx="1">
                  <c:v>15501.68</c:v>
                </c:pt>
                <c:pt idx="3">
                  <c:v>16434.64999999994</c:v>
                </c:pt>
                <c:pt idx="4">
                  <c:v>8988.9889999999559</c:v>
                </c:pt>
                <c:pt idx="6">
                  <c:v>24444.980000000021</c:v>
                </c:pt>
                <c:pt idx="7">
                  <c:v>13455.6</c:v>
                </c:pt>
                <c:pt idx="8">
                  <c:v>14987.97</c:v>
                </c:pt>
                <c:pt idx="9">
                  <c:v>16699.280000000021</c:v>
                </c:pt>
                <c:pt idx="10">
                  <c:v>16122.5</c:v>
                </c:pt>
                <c:pt idx="11">
                  <c:v>10545.89</c:v>
                </c:pt>
                <c:pt idx="12">
                  <c:v>23098.5</c:v>
                </c:pt>
                <c:pt idx="13">
                  <c:v>10895.630000000006</c:v>
                </c:pt>
                <c:pt idx="14">
                  <c:v>11630.07</c:v>
                </c:pt>
                <c:pt idx="15">
                  <c:v>12720.64000000001</c:v>
                </c:pt>
                <c:pt idx="16">
                  <c:v>17270.830000000002</c:v>
                </c:pt>
                <c:pt idx="17">
                  <c:v>9187.8859999999422</c:v>
                </c:pt>
                <c:pt idx="19">
                  <c:v>14967.369999999952</c:v>
                </c:pt>
              </c:numCache>
            </c:numRef>
          </c:val>
        </c:ser>
        <c:dLbls>
          <c:showLegendKey val="0"/>
          <c:showVal val="0"/>
          <c:showCatName val="0"/>
          <c:showSerName val="0"/>
          <c:showPercent val="0"/>
          <c:showBubbleSize val="0"/>
        </c:dLbls>
        <c:gapWidth val="46"/>
        <c:axId val="331645984"/>
        <c:axId val="331646544"/>
      </c:barChart>
      <c:catAx>
        <c:axId val="331645984"/>
        <c:scaling>
          <c:orientation val="minMax"/>
        </c:scaling>
        <c:delete val="0"/>
        <c:axPos val="l"/>
        <c:numFmt formatCode="General" sourceLinked="0"/>
        <c:majorTickMark val="out"/>
        <c:minorTickMark val="none"/>
        <c:tickLblPos val="nextTo"/>
        <c:crossAx val="331646544"/>
        <c:crosses val="autoZero"/>
        <c:auto val="1"/>
        <c:lblAlgn val="ctr"/>
        <c:lblOffset val="100"/>
        <c:noMultiLvlLbl val="0"/>
      </c:catAx>
      <c:valAx>
        <c:axId val="331646544"/>
        <c:scaling>
          <c:orientation val="minMax"/>
          <c:max val="30000"/>
        </c:scaling>
        <c:delete val="0"/>
        <c:axPos val="b"/>
        <c:numFmt formatCode="_-* #,##0\ _€_-;\-* #,##0\ _€_-;_-* &quot;-&quot;??\ _€_-;_-@_-" sourceLinked="1"/>
        <c:majorTickMark val="out"/>
        <c:minorTickMark val="none"/>
        <c:tickLblPos val="nextTo"/>
        <c:crossAx val="331645984"/>
        <c:crosses val="autoZero"/>
        <c:crossBetween val="between"/>
      </c:valAx>
    </c:plotArea>
    <c:plotVisOnly val="1"/>
    <c:dispBlanksAs val="gap"/>
    <c:showDLblsOverMax val="0"/>
  </c:chart>
  <c:spPr>
    <a:solidFill>
      <a:schemeClr val="accent6">
        <a:lumMod val="20000"/>
        <a:lumOff val="80000"/>
      </a:schemeClr>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'2.1.1-AccèsElectric(SE100)'!$J$3</c:f>
              <c:strCache>
                <c:ptCount val="1"/>
                <c:pt idx="0">
                  <c:v>Pourcentage de ménages connectés au réseau électrique SBEE</c:v>
                </c:pt>
              </c:strCache>
            </c:strRef>
          </c:tx>
          <c:invertIfNegative val="0"/>
          <c:dPt>
            <c:idx val="13"/>
            <c:invertIfNegative val="0"/>
            <c:bubble3D val="0"/>
            <c:spPr>
              <a:solidFill>
                <a:schemeClr val="accent4">
                  <a:lumMod val="60000"/>
                  <a:lumOff val="40000"/>
                </a:schemeClr>
              </a:solidFill>
            </c:spPr>
          </c:dPt>
          <c:dPt>
            <c:idx val="14"/>
            <c:invertIfNegative val="0"/>
            <c:bubble3D val="0"/>
            <c:spPr>
              <a:solidFill>
                <a:schemeClr val="accent4">
                  <a:lumMod val="60000"/>
                  <a:lumOff val="40000"/>
                </a:schemeClr>
              </a:solidFill>
            </c:spPr>
          </c:dPt>
          <c:dPt>
            <c:idx val="16"/>
            <c:invertIfNegative val="0"/>
            <c:bubble3D val="0"/>
            <c:spPr>
              <a:solidFill>
                <a:srgbClr val="C0504D">
                  <a:lumMod val="60000"/>
                  <a:lumOff val="40000"/>
                </a:srgbClr>
              </a:solidFill>
            </c:spPr>
          </c:dPt>
          <c:dLbls>
            <c:spPr>
              <a:noFill/>
              <a:ln>
                <a:noFill/>
              </a:ln>
              <a:effectLst/>
            </c:spPr>
            <c:txPr>
              <a:bodyPr/>
              <a:lstStyle/>
              <a:p>
                <a:pPr>
                  <a:defRPr sz="11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'2.1.1-AccèsElectric(SE100)'!$I$4:$I$20</c:f>
              <c:strCache>
                <c:ptCount val="17"/>
                <c:pt idx="0">
                  <c:v>    ALIBORI</c:v>
                </c:pt>
                <c:pt idx="1">
                  <c:v>    ATACORA</c:v>
                </c:pt>
                <c:pt idx="2">
                  <c:v>    ATLANTIQUE</c:v>
                </c:pt>
                <c:pt idx="3">
                  <c:v>    BORGOU</c:v>
                </c:pt>
                <c:pt idx="4">
                  <c:v>    COLLINES</c:v>
                </c:pt>
                <c:pt idx="5">
                  <c:v>    COUFFO</c:v>
                </c:pt>
                <c:pt idx="6">
                  <c:v>    DONGA</c:v>
                </c:pt>
                <c:pt idx="7">
                  <c:v>    LITTORAL</c:v>
                </c:pt>
                <c:pt idx="8">
                  <c:v>    MONO</c:v>
                </c:pt>
                <c:pt idx="9">
                  <c:v>    OUEME</c:v>
                </c:pt>
                <c:pt idx="10">
                  <c:v>    PLATEAU</c:v>
                </c:pt>
                <c:pt idx="11">
                  <c:v>    ZOU</c:v>
                </c:pt>
                <c:pt idx="12">
                  <c:v>Département</c:v>
                </c:pt>
                <c:pt idx="13">
                  <c:v>    Urbain</c:v>
                </c:pt>
                <c:pt idx="14">
                  <c:v>    Rural</c:v>
                </c:pt>
                <c:pt idx="15">
                  <c:v>Milieu de résidence</c:v>
                </c:pt>
                <c:pt idx="16">
                  <c:v>Ensemble</c:v>
                </c:pt>
              </c:strCache>
            </c:strRef>
          </c:cat>
          <c:val>
            <c:numRef>
              <c:f>'2.1.1-AccèsElectric(SE100)'!$J$4:$J$20</c:f>
              <c:numCache>
                <c:formatCode>0.0</c:formatCode>
                <c:ptCount val="17"/>
                <c:pt idx="0">
                  <c:v>16.5</c:v>
                </c:pt>
                <c:pt idx="1">
                  <c:v>31.41</c:v>
                </c:pt>
                <c:pt idx="2">
                  <c:v>55.7</c:v>
                </c:pt>
                <c:pt idx="3">
                  <c:v>10.370000000000006</c:v>
                </c:pt>
                <c:pt idx="4">
                  <c:v>22.09</c:v>
                </c:pt>
                <c:pt idx="5">
                  <c:v>7.91</c:v>
                </c:pt>
                <c:pt idx="6">
                  <c:v>35.71</c:v>
                </c:pt>
                <c:pt idx="7">
                  <c:v>88.490000000000023</c:v>
                </c:pt>
                <c:pt idx="8">
                  <c:v>33.99</c:v>
                </c:pt>
                <c:pt idx="9">
                  <c:v>49.620000000000012</c:v>
                </c:pt>
                <c:pt idx="10">
                  <c:v>31.939999999999987</c:v>
                </c:pt>
                <c:pt idx="11">
                  <c:v>37.220000000000013</c:v>
                </c:pt>
                <c:pt idx="13">
                  <c:v>54.53</c:v>
                </c:pt>
                <c:pt idx="14">
                  <c:v>20.77</c:v>
                </c:pt>
                <c:pt idx="16">
                  <c:v>34.722222222222314</c:v>
                </c:pt>
              </c:numCache>
            </c:numRef>
          </c:val>
        </c:ser>
        <c:dLbls>
          <c:showLegendKey val="0"/>
          <c:showVal val="0"/>
          <c:showCatName val="0"/>
          <c:showSerName val="0"/>
          <c:showPercent val="0"/>
          <c:showBubbleSize val="0"/>
        </c:dLbls>
        <c:gapWidth val="50"/>
        <c:axId val="331648784"/>
        <c:axId val="331649344"/>
      </c:barChart>
      <c:catAx>
        <c:axId val="331648784"/>
        <c:scaling>
          <c:orientation val="minMax"/>
        </c:scaling>
        <c:delete val="0"/>
        <c:axPos val="l"/>
        <c:numFmt formatCode="General" sourceLinked="0"/>
        <c:majorTickMark val="none"/>
        <c:minorTickMark val="none"/>
        <c:tickLblPos val="nextTo"/>
        <c:txPr>
          <a:bodyPr/>
          <a:lstStyle/>
          <a:p>
            <a:pPr>
              <a:defRPr sz="1100"/>
            </a:pPr>
            <a:endParaRPr lang="fr-FR"/>
          </a:p>
        </c:txPr>
        <c:crossAx val="331649344"/>
        <c:crosses val="autoZero"/>
        <c:auto val="1"/>
        <c:lblAlgn val="ctr"/>
        <c:lblOffset val="100"/>
        <c:noMultiLvlLbl val="0"/>
      </c:catAx>
      <c:valAx>
        <c:axId val="331649344"/>
        <c:scaling>
          <c:orientation val="minMax"/>
        </c:scaling>
        <c:delete val="0"/>
        <c:axPos val="b"/>
        <c:title>
          <c:tx>
            <c:rich>
              <a:bodyPr/>
              <a:lstStyle/>
              <a:p>
                <a:pPr>
                  <a:defRPr b="0"/>
                </a:pPr>
                <a:r>
                  <a:rPr lang="fr-FR" b="0"/>
                  <a:t>Pourcentage de ménages</a:t>
                </a:r>
              </a:p>
            </c:rich>
          </c:tx>
          <c:layout>
            <c:manualLayout>
              <c:xMode val="edge"/>
              <c:yMode val="edge"/>
              <c:x val="0.46969013343151123"/>
              <c:y val="0.92511977270224754"/>
            </c:manualLayout>
          </c:layout>
          <c:overlay val="0"/>
        </c:title>
        <c:numFmt formatCode="0.0" sourceLinked="1"/>
        <c:majorTickMark val="out"/>
        <c:minorTickMark val="none"/>
        <c:tickLblPos val="nextTo"/>
        <c:crossAx val="331648784"/>
        <c:crosses val="autoZero"/>
        <c:crossBetween val="between"/>
      </c:valAx>
    </c:plotArea>
    <c:plotVisOnly val="1"/>
    <c:dispBlanksAs val="gap"/>
    <c:showDLblsOverMax val="0"/>
  </c:chart>
  <c:spPr>
    <a:solidFill>
      <a:schemeClr val="accent6">
        <a:lumMod val="20000"/>
        <a:lumOff val="80000"/>
      </a:schemeClr>
    </a:solidFill>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1.8344428437163919E-2"/>
          <c:y val="4.2508975157613864E-2"/>
          <c:w val="0.94931563039861244"/>
          <c:h val="0.93497275479393238"/>
        </c:manualLayout>
      </c:layout>
      <c:pie3DChart>
        <c:varyColors val="1"/>
        <c:ser>
          <c:idx val="0"/>
          <c:order val="0"/>
          <c:tx>
            <c:strRef>
              <c:f>'2.1.3-UtlisationSimultané(SE3)'!$D$6</c:f>
              <c:strCache>
                <c:ptCount val="1"/>
                <c:pt idx="0">
                  <c:v>Pourcentage</c:v>
                </c:pt>
              </c:strCache>
            </c:strRef>
          </c:tx>
          <c:explosion val="25"/>
          <c:dPt>
            <c:idx val="0"/>
            <c:bubble3D val="0"/>
            <c:spPr>
              <a:solidFill>
                <a:schemeClr val="accent2">
                  <a:lumMod val="60000"/>
                  <a:lumOff val="40000"/>
                </a:schemeClr>
              </a:solidFill>
            </c:spPr>
          </c:dPt>
          <c:dPt>
            <c:idx val="1"/>
            <c:bubble3D val="0"/>
            <c:spPr>
              <a:solidFill>
                <a:schemeClr val="accent1">
                  <a:lumMod val="60000"/>
                  <a:lumOff val="40000"/>
                </a:schemeClr>
              </a:solidFill>
            </c:spPr>
          </c:dPt>
          <c:dLbls>
            <c:dLbl>
              <c:idx val="0"/>
              <c:layout>
                <c:manualLayout>
                  <c:x val="-0.17355392355531576"/>
                  <c:y val="7.0962354390019702E-2"/>
                </c:manualLayout>
              </c:layout>
              <c:tx>
                <c:rich>
                  <a:bodyPr/>
                  <a:lstStyle/>
                  <a:p>
                    <a:r>
                      <a:rPr lang="en-US" sz="1100"/>
                      <a:t>Utilise source simultanée; 22,3%</a:t>
                    </a:r>
                  </a:p>
                </c:rich>
              </c:tx>
              <c:showLegendKey val="0"/>
              <c:showVal val="1"/>
              <c:showCatName val="1"/>
              <c:showSerName val="0"/>
              <c:showPercent val="0"/>
              <c:showBubbleSize val="0"/>
              <c:extLst>
                <c:ext xmlns:c15="http://schemas.microsoft.com/office/drawing/2012/chart" uri="{CE6537A1-D6FC-4f65-9D91-7224C49458BB}"/>
              </c:extLst>
            </c:dLbl>
            <c:dLbl>
              <c:idx val="1"/>
              <c:layout>
                <c:manualLayout>
                  <c:x val="0.20530096594050917"/>
                  <c:y val="-0.30042527470495201"/>
                </c:manualLayout>
              </c:layout>
              <c:tx>
                <c:rich>
                  <a:bodyPr/>
                  <a:lstStyle/>
                  <a:p>
                    <a:r>
                      <a:rPr lang="en-US" sz="1100"/>
                      <a:t>N'utilise pas de source simultanée; 77,7%</a:t>
                    </a:r>
                  </a:p>
                </c:rich>
              </c:tx>
              <c:showLegendKey val="0"/>
              <c:showVal val="1"/>
              <c:showCatName val="1"/>
              <c:showSerName val="0"/>
              <c:showPercent val="0"/>
              <c:showBubbleSize val="0"/>
              <c:extLst>
                <c:ext xmlns:c15="http://schemas.microsoft.com/office/drawing/2012/chart" uri="{CE6537A1-D6FC-4f65-9D91-7224C49458BB}"/>
              </c:extLst>
            </c:dLbl>
            <c:spPr>
              <a:noFill/>
              <a:ln>
                <a:noFill/>
              </a:ln>
              <a:effectLst/>
            </c:spPr>
            <c:txPr>
              <a:bodyPr/>
              <a:lstStyle/>
              <a:p>
                <a:pPr>
                  <a:defRPr sz="1100"/>
                </a:pPr>
                <a:endParaRPr lang="fr-FR"/>
              </a:p>
            </c:txPr>
            <c:showLegendKey val="0"/>
            <c:showVal val="0"/>
            <c:showCatName val="1"/>
            <c:showSerName val="0"/>
            <c:showPercent val="0"/>
            <c:showBubbleSize val="0"/>
            <c:showLeaderLines val="1"/>
            <c:extLst>
              <c:ext xmlns:c15="http://schemas.microsoft.com/office/drawing/2012/chart" uri="{CE6537A1-D6FC-4f65-9D91-7224C49458BB}"/>
            </c:extLst>
          </c:dLbls>
          <c:cat>
            <c:strRef>
              <c:f>'2.1.3-UtlisationSimultané(SE3)'!$B$7:$B$8</c:f>
              <c:strCache>
                <c:ptCount val="2"/>
                <c:pt idx="0">
                  <c:v>Utilise source simultanée</c:v>
                </c:pt>
                <c:pt idx="1">
                  <c:v>N'utilise pas de source simultanée</c:v>
                </c:pt>
              </c:strCache>
            </c:strRef>
          </c:cat>
          <c:val>
            <c:numRef>
              <c:f>'2.1.3-UtlisationSimultané(SE3)'!$D$7:$D$8</c:f>
              <c:numCache>
                <c:formatCode>0.0</c:formatCode>
                <c:ptCount val="2"/>
                <c:pt idx="0">
                  <c:v>22.259999999999987</c:v>
                </c:pt>
                <c:pt idx="1">
                  <c:v>77.739999999999995</c:v>
                </c:pt>
              </c:numCache>
            </c:numRef>
          </c:val>
        </c:ser>
        <c:dLbls>
          <c:showLegendKey val="0"/>
          <c:showVal val="0"/>
          <c:showCatName val="0"/>
          <c:showSerName val="0"/>
          <c:showPercent val="0"/>
          <c:showBubbleSize val="0"/>
          <c:showLeaderLines val="1"/>
        </c:dLbls>
      </c:pie3DChart>
      <c:spPr>
        <a:solidFill>
          <a:schemeClr val="bg1"/>
        </a:solidFill>
      </c:spPr>
    </c:plotArea>
    <c:plotVisOnly val="1"/>
    <c:dispBlanksAs val="zero"/>
    <c:showDLblsOverMax val="0"/>
  </c:chart>
  <c:spPr>
    <a:solidFill>
      <a:schemeClr val="accent6">
        <a:lumMod val="20000"/>
        <a:lumOff val="80000"/>
      </a:schemeClr>
    </a:solidFill>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598709769197991"/>
          <c:y val="4.7374143145195474E-2"/>
          <c:w val="0.45988641925856355"/>
          <c:h val="0.75341029399097825"/>
        </c:manualLayout>
      </c:layout>
      <c:barChart>
        <c:barDir val="bar"/>
        <c:grouping val="clustered"/>
        <c:varyColors val="0"/>
        <c:ser>
          <c:idx val="0"/>
          <c:order val="0"/>
          <c:tx>
            <c:strRef>
              <c:f>'2.1.3-UtlisationSimultané(SE3)'!$C$13</c:f>
              <c:strCache>
                <c:ptCount val="1"/>
                <c:pt idx="0">
                  <c:v>Effectif</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'2.1.3-UtlisationSimultané(SE3)'!$B$14:$B$22</c:f>
              <c:strCache>
                <c:ptCount val="9"/>
                <c:pt idx="0">
                  <c:v>Electricité et générateur</c:v>
                </c:pt>
                <c:pt idx="1">
                  <c:v>Electricité et pétrole</c:v>
                </c:pt>
                <c:pt idx="2">
                  <c:v>Electricité et énergie solaire</c:v>
                </c:pt>
                <c:pt idx="3">
                  <c:v>Electricité, charbon, biomasse et bois</c:v>
                </c:pt>
                <c:pt idx="4">
                  <c:v>Electricité, pile à torche et batterie</c:v>
                </c:pt>
                <c:pt idx="5">
                  <c:v>Electricité et gaz</c:v>
                </c:pt>
                <c:pt idx="6">
                  <c:v>Electricité et bougie</c:v>
                </c:pt>
                <c:pt idx="7">
                  <c:v>Electricité et autres sources d'énergie</c:v>
                </c:pt>
                <c:pt idx="8">
                  <c:v>Ligne directe et toile d'araignée</c:v>
                </c:pt>
              </c:strCache>
            </c:strRef>
          </c:cat>
          <c:val>
            <c:numRef>
              <c:f>'2.1.3-UtlisationSimultané(SE3)'!$D$14:$D$22</c:f>
              <c:numCache>
                <c:formatCode>0.0</c:formatCode>
                <c:ptCount val="9"/>
                <c:pt idx="0">
                  <c:v>0.68</c:v>
                </c:pt>
                <c:pt idx="1">
                  <c:v>3.05</c:v>
                </c:pt>
                <c:pt idx="2">
                  <c:v>0.68</c:v>
                </c:pt>
                <c:pt idx="3">
                  <c:v>29.49</c:v>
                </c:pt>
                <c:pt idx="4">
                  <c:v>29.830000000000005</c:v>
                </c:pt>
                <c:pt idx="5">
                  <c:v>9.15</c:v>
                </c:pt>
                <c:pt idx="6">
                  <c:v>21.69</c:v>
                </c:pt>
                <c:pt idx="7">
                  <c:v>2.0299999999999998</c:v>
                </c:pt>
                <c:pt idx="8">
                  <c:v>3.3899999999999997</c:v>
                </c:pt>
              </c:numCache>
            </c:numRef>
          </c:val>
        </c:ser>
        <c:dLbls>
          <c:showLegendKey val="0"/>
          <c:showVal val="0"/>
          <c:showCatName val="0"/>
          <c:showSerName val="0"/>
          <c:showPercent val="0"/>
          <c:showBubbleSize val="0"/>
        </c:dLbls>
        <c:gapWidth val="70"/>
        <c:axId val="290617264"/>
        <c:axId val="290617824"/>
      </c:barChart>
      <c:catAx>
        <c:axId val="290617264"/>
        <c:scaling>
          <c:orientation val="minMax"/>
        </c:scaling>
        <c:delete val="0"/>
        <c:axPos val="l"/>
        <c:numFmt formatCode="General" sourceLinked="0"/>
        <c:majorTickMark val="none"/>
        <c:minorTickMark val="none"/>
        <c:tickLblPos val="nextTo"/>
        <c:crossAx val="290617824"/>
        <c:crosses val="autoZero"/>
        <c:auto val="1"/>
        <c:lblAlgn val="ctr"/>
        <c:lblOffset val="100"/>
        <c:noMultiLvlLbl val="0"/>
      </c:catAx>
      <c:valAx>
        <c:axId val="290617824"/>
        <c:scaling>
          <c:orientation val="minMax"/>
        </c:scaling>
        <c:delete val="0"/>
        <c:axPos val="b"/>
        <c:title>
          <c:tx>
            <c:rich>
              <a:bodyPr/>
              <a:lstStyle/>
              <a:p>
                <a:pPr>
                  <a:defRPr b="0"/>
                </a:pPr>
                <a:r>
                  <a:rPr lang="fr-FR" b="0"/>
                  <a:t>Pourcentage de ménage</a:t>
                </a:r>
              </a:p>
            </c:rich>
          </c:tx>
          <c:overlay val="0"/>
        </c:title>
        <c:numFmt formatCode="0.0" sourceLinked="1"/>
        <c:majorTickMark val="none"/>
        <c:minorTickMark val="none"/>
        <c:tickLblPos val="nextTo"/>
        <c:crossAx val="290617264"/>
        <c:crosses val="autoZero"/>
        <c:crossBetween val="between"/>
      </c:valAx>
    </c:plotArea>
    <c:plotVisOnly val="1"/>
    <c:dispBlanksAs val="gap"/>
    <c:showDLblsOverMax val="0"/>
  </c:chart>
  <c:spPr>
    <a:solidFill>
      <a:schemeClr val="accent6">
        <a:lumMod val="20000"/>
        <a:lumOff val="80000"/>
      </a:schemeClr>
    </a:solidFill>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0555040463083105"/>
          <c:y val="4.0345195456154746E-2"/>
          <c:w val="0.35837876547602276"/>
          <c:h val="0.78999704847603769"/>
        </c:manualLayout>
      </c:layout>
      <c:barChart>
        <c:barDir val="bar"/>
        <c:grouping val="stacked"/>
        <c:varyColors val="0"/>
        <c:ser>
          <c:idx val="0"/>
          <c:order val="0"/>
          <c:tx>
            <c:strRef>
              <c:f>'2.3.1-Utilisation(SE2) (2)'!$C$3</c:f>
              <c:strCache>
                <c:ptCount val="1"/>
                <c:pt idx="0">
                  <c:v>Activités domestiques seulement</c:v>
                </c:pt>
              </c:strCache>
            </c:strRef>
          </c:tx>
          <c:spPr>
            <a:solidFill>
              <a:srgbClr val="8064A2">
                <a:lumMod val="60000"/>
                <a:lumOff val="40000"/>
              </a:srgbClr>
            </a:solidFill>
          </c:spPr>
          <c:invertIfNegative val="0"/>
          <c:dLbls>
            <c:spPr>
              <a:noFill/>
              <a:ln>
                <a:noFill/>
              </a:ln>
              <a:effectLst/>
            </c:spPr>
            <c:txPr>
              <a:bodyPr/>
              <a:lstStyle/>
              <a:p>
                <a:pPr>
                  <a:defRPr sz="900"/>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(2)'!$C$4:$C$16</c:f>
              <c:numCache>
                <c:formatCode>0.0</c:formatCode>
                <c:ptCount val="13"/>
                <c:pt idx="0">
                  <c:v>32.730000000000011</c:v>
                </c:pt>
                <c:pt idx="1">
                  <c:v>85.22</c:v>
                </c:pt>
                <c:pt idx="2">
                  <c:v>66.510000000000005</c:v>
                </c:pt>
                <c:pt idx="3">
                  <c:v>79.52</c:v>
                </c:pt>
                <c:pt idx="4">
                  <c:v>75</c:v>
                </c:pt>
                <c:pt idx="5">
                  <c:v>94.27</c:v>
                </c:pt>
                <c:pt idx="6">
                  <c:v>83.4</c:v>
                </c:pt>
                <c:pt idx="7">
                  <c:v>75.61</c:v>
                </c:pt>
                <c:pt idx="8">
                  <c:v>98.63</c:v>
                </c:pt>
                <c:pt idx="9">
                  <c:v>100</c:v>
                </c:pt>
                <c:pt idx="10">
                  <c:v>96.5</c:v>
                </c:pt>
                <c:pt idx="11">
                  <c:v>100</c:v>
                </c:pt>
                <c:pt idx="12">
                  <c:v>92.45</c:v>
                </c:pt>
              </c:numCache>
            </c:numRef>
          </c:val>
        </c:ser>
        <c:ser>
          <c:idx val="1"/>
          <c:order val="1"/>
          <c:tx>
            <c:strRef>
              <c:f>'2.3.1-Utilisation(SE2) (2)'!$D$3</c:f>
              <c:strCache>
                <c:ptCount val="1"/>
                <c:pt idx="0">
                  <c:v>Activités économiques seulement</c:v>
                </c:pt>
              </c:strCache>
            </c:strRef>
          </c:tx>
          <c:invertIfNegative val="0"/>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(2)'!$D$4:$D$16</c:f>
              <c:numCache>
                <c:formatCode>0.0</c:formatCode>
                <c:ptCount val="13"/>
                <c:pt idx="0">
                  <c:v>0</c:v>
                </c:pt>
                <c:pt idx="1">
                  <c:v>0</c:v>
                </c:pt>
                <c:pt idx="2">
                  <c:v>0.23</c:v>
                </c:pt>
                <c:pt idx="3">
                  <c:v>0.19</c:v>
                </c:pt>
                <c:pt idx="5">
                  <c:v>0.15000000000000024</c:v>
                </c:pt>
                <c:pt idx="6">
                  <c:v>0.11</c:v>
                </c:pt>
                <c:pt idx="7">
                  <c:v>2.44</c:v>
                </c:pt>
                <c:pt idx="8">
                  <c:v>1.37</c:v>
                </c:pt>
                <c:pt idx="9">
                  <c:v>0</c:v>
                </c:pt>
                <c:pt idx="10">
                  <c:v>0</c:v>
                </c:pt>
                <c:pt idx="11">
                  <c:v>0</c:v>
                </c:pt>
                <c:pt idx="12">
                  <c:v>0</c:v>
                </c:pt>
              </c:numCache>
            </c:numRef>
          </c:val>
        </c:ser>
        <c:ser>
          <c:idx val="2"/>
          <c:order val="2"/>
          <c:tx>
            <c:strRef>
              <c:f>'2.3.1-Utilisation(SE2) (2)'!$E$3</c:f>
              <c:strCache>
                <c:ptCount val="1"/>
                <c:pt idx="0">
                  <c:v>Loisirs seulement</c:v>
                </c:pt>
              </c:strCache>
            </c:strRef>
          </c:tx>
          <c:invertIfNegative val="0"/>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(2)'!$E$4:$E$16</c:f>
              <c:numCache>
                <c:formatCode>0.0</c:formatCode>
                <c:ptCount val="13"/>
                <c:pt idx="0">
                  <c:v>0</c:v>
                </c:pt>
                <c:pt idx="1">
                  <c:v>0</c:v>
                </c:pt>
                <c:pt idx="2">
                  <c:v>1.6400000000000001</c:v>
                </c:pt>
                <c:pt idx="3">
                  <c:v>1.07</c:v>
                </c:pt>
                <c:pt idx="4">
                  <c:v>1.25</c:v>
                </c:pt>
                <c:pt idx="5">
                  <c:v>0.77000000000000168</c:v>
                </c:pt>
                <c:pt idx="6">
                  <c:v>0.36000000000000032</c:v>
                </c:pt>
                <c:pt idx="7">
                  <c:v>0</c:v>
                </c:pt>
                <c:pt idx="8">
                  <c:v>0</c:v>
                </c:pt>
                <c:pt idx="9">
                  <c:v>0</c:v>
                </c:pt>
                <c:pt idx="10">
                  <c:v>0.46</c:v>
                </c:pt>
                <c:pt idx="11">
                  <c:v>0</c:v>
                </c:pt>
                <c:pt idx="12">
                  <c:v>0</c:v>
                </c:pt>
              </c:numCache>
            </c:numRef>
          </c:val>
        </c:ser>
        <c:ser>
          <c:idx val="3"/>
          <c:order val="3"/>
          <c:tx>
            <c:strRef>
              <c:f>'2.3.1-Utilisation(SE2) (2)'!$F$3</c:f>
              <c:strCache>
                <c:ptCount val="1"/>
                <c:pt idx="0">
                  <c:v>Activités domestiques et économiques</c:v>
                </c:pt>
              </c:strCache>
            </c:strRef>
          </c:tx>
          <c:invertIfNegative val="0"/>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(2)'!$F$4:$F$16</c:f>
              <c:numCache>
                <c:formatCode>0.0</c:formatCode>
                <c:ptCount val="13"/>
                <c:pt idx="0">
                  <c:v>5.25</c:v>
                </c:pt>
                <c:pt idx="1">
                  <c:v>3.8499999999999988</c:v>
                </c:pt>
                <c:pt idx="2">
                  <c:v>8.9</c:v>
                </c:pt>
                <c:pt idx="3">
                  <c:v>9.42</c:v>
                </c:pt>
                <c:pt idx="4">
                  <c:v>2.5</c:v>
                </c:pt>
                <c:pt idx="5">
                  <c:v>3.3299999999999987</c:v>
                </c:pt>
                <c:pt idx="6">
                  <c:v>9.2800000000000011</c:v>
                </c:pt>
                <c:pt idx="7">
                  <c:v>9.76</c:v>
                </c:pt>
                <c:pt idx="8">
                  <c:v>0</c:v>
                </c:pt>
                <c:pt idx="9">
                  <c:v>0</c:v>
                </c:pt>
                <c:pt idx="10">
                  <c:v>0.91</c:v>
                </c:pt>
                <c:pt idx="11">
                  <c:v>0</c:v>
                </c:pt>
                <c:pt idx="12">
                  <c:v>4.8899999999999997</c:v>
                </c:pt>
              </c:numCache>
            </c:numRef>
          </c:val>
        </c:ser>
        <c:ser>
          <c:idx val="4"/>
          <c:order val="4"/>
          <c:tx>
            <c:strRef>
              <c:f>'2.3.1-Utilisation(SE2) (2)'!$G$3</c:f>
              <c:strCache>
                <c:ptCount val="1"/>
                <c:pt idx="0">
                  <c:v>Activités domestiques et Loisirs</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(2)'!$G$4:$G$16</c:f>
              <c:numCache>
                <c:formatCode>0.0</c:formatCode>
                <c:ptCount val="13"/>
                <c:pt idx="0">
                  <c:v>35.120000000000012</c:v>
                </c:pt>
                <c:pt idx="1">
                  <c:v>6.85</c:v>
                </c:pt>
                <c:pt idx="2">
                  <c:v>13.11</c:v>
                </c:pt>
                <c:pt idx="3">
                  <c:v>5.34</c:v>
                </c:pt>
                <c:pt idx="4">
                  <c:v>5</c:v>
                </c:pt>
                <c:pt idx="5">
                  <c:v>0.77000000000000168</c:v>
                </c:pt>
                <c:pt idx="6">
                  <c:v>3.34</c:v>
                </c:pt>
                <c:pt idx="7">
                  <c:v>12.2</c:v>
                </c:pt>
                <c:pt idx="8">
                  <c:v>0</c:v>
                </c:pt>
                <c:pt idx="9">
                  <c:v>0</c:v>
                </c:pt>
                <c:pt idx="10">
                  <c:v>0.76000000000000156</c:v>
                </c:pt>
                <c:pt idx="11">
                  <c:v>0</c:v>
                </c:pt>
                <c:pt idx="12">
                  <c:v>0.22</c:v>
                </c:pt>
              </c:numCache>
            </c:numRef>
          </c:val>
        </c:ser>
        <c:ser>
          <c:idx val="5"/>
          <c:order val="5"/>
          <c:tx>
            <c:strRef>
              <c:f>'2.3.1-Utilisation(SE2) (2)'!$H$3</c:f>
              <c:strCache>
                <c:ptCount val="1"/>
                <c:pt idx="0">
                  <c:v>Activités domestiques, économiques et Loisirs</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(2)'!$H$4:$H$16</c:f>
              <c:numCache>
                <c:formatCode>0.0</c:formatCode>
                <c:ptCount val="13"/>
                <c:pt idx="0">
                  <c:v>26.91</c:v>
                </c:pt>
                <c:pt idx="1">
                  <c:v>4.07</c:v>
                </c:pt>
                <c:pt idx="2">
                  <c:v>9.6</c:v>
                </c:pt>
                <c:pt idx="3">
                  <c:v>4.46</c:v>
                </c:pt>
                <c:pt idx="4">
                  <c:v>16.25</c:v>
                </c:pt>
                <c:pt idx="5">
                  <c:v>0.70000000000000062</c:v>
                </c:pt>
                <c:pt idx="6">
                  <c:v>3.52</c:v>
                </c:pt>
                <c:pt idx="7">
                  <c:v>0</c:v>
                </c:pt>
                <c:pt idx="8">
                  <c:v>0</c:v>
                </c:pt>
                <c:pt idx="9">
                  <c:v>0</c:v>
                </c:pt>
                <c:pt idx="10">
                  <c:v>1.37</c:v>
                </c:pt>
                <c:pt idx="11">
                  <c:v>0</c:v>
                </c:pt>
                <c:pt idx="12">
                  <c:v>2.4499999999999997</c:v>
                </c:pt>
              </c:numCache>
            </c:numRef>
          </c:val>
        </c:ser>
        <c:dLbls>
          <c:showLegendKey val="0"/>
          <c:showVal val="0"/>
          <c:showCatName val="0"/>
          <c:showSerName val="0"/>
          <c:showPercent val="0"/>
          <c:showBubbleSize val="0"/>
        </c:dLbls>
        <c:gapWidth val="75"/>
        <c:overlap val="100"/>
        <c:axId val="384769904"/>
        <c:axId val="384768784"/>
      </c:barChart>
      <c:catAx>
        <c:axId val="384769904"/>
        <c:scaling>
          <c:orientation val="minMax"/>
        </c:scaling>
        <c:delete val="0"/>
        <c:axPos val="l"/>
        <c:numFmt formatCode="General" sourceLinked="0"/>
        <c:majorTickMark val="none"/>
        <c:minorTickMark val="none"/>
        <c:tickLblPos val="nextTo"/>
        <c:crossAx val="384768784"/>
        <c:crosses val="autoZero"/>
        <c:auto val="1"/>
        <c:lblAlgn val="ctr"/>
        <c:lblOffset val="100"/>
        <c:noMultiLvlLbl val="0"/>
      </c:catAx>
      <c:valAx>
        <c:axId val="384768784"/>
        <c:scaling>
          <c:orientation val="minMax"/>
          <c:max val="100"/>
        </c:scaling>
        <c:delete val="0"/>
        <c:axPos val="b"/>
        <c:title>
          <c:tx>
            <c:rich>
              <a:bodyPr/>
              <a:lstStyle/>
              <a:p>
                <a:pPr>
                  <a:defRPr b="0"/>
                </a:pPr>
                <a:r>
                  <a:rPr lang="fr-FR" b="0"/>
                  <a:t>Pourcentage de ménages</a:t>
                </a:r>
              </a:p>
            </c:rich>
          </c:tx>
          <c:overlay val="0"/>
        </c:title>
        <c:numFmt formatCode="0.0" sourceLinked="1"/>
        <c:majorTickMark val="out"/>
        <c:minorTickMark val="none"/>
        <c:tickLblPos val="nextTo"/>
        <c:crossAx val="384769904"/>
        <c:crosses val="autoZero"/>
        <c:crossBetween val="between"/>
      </c:valAx>
    </c:plotArea>
    <c:legend>
      <c:legendPos val="r"/>
      <c:layout>
        <c:manualLayout>
          <c:xMode val="edge"/>
          <c:yMode val="edge"/>
          <c:x val="0.73231439244994967"/>
          <c:y val="3.3307033023953402E-2"/>
          <c:w val="0.25640865886149877"/>
          <c:h val="0.90060347307487998"/>
        </c:manualLayout>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F33D-76D3-4114-AA15-356068D6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31071</Words>
  <Characters>170894</Characters>
  <Application>Microsoft Office Word</Application>
  <DocSecurity>0</DocSecurity>
  <Lines>1424</Lines>
  <Paragraphs>403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201562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insae</cp:lastModifiedBy>
  <cp:revision>2</cp:revision>
  <cp:lastPrinted>2014-11-20T12:59:00Z</cp:lastPrinted>
  <dcterms:created xsi:type="dcterms:W3CDTF">2016-03-04T15:10:00Z</dcterms:created>
  <dcterms:modified xsi:type="dcterms:W3CDTF">2016-03-04T15:10:00Z</dcterms:modified>
</cp:coreProperties>
</file>